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6F949E8E" w:rsidR="008A332F" w:rsidRDefault="00B6468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196910CC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proofErr w:type="gramStart"/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proofErr w:type="gramEnd"/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9836AB">
        <w:rPr>
          <w:rFonts w:ascii="Arial" w:hAnsi="Arial" w:cs="Arial"/>
          <w:b/>
          <w:color w:val="auto"/>
          <w:sz w:val="24"/>
          <w:szCs w:val="24"/>
        </w:rPr>
        <w:t>I</w:t>
      </w:r>
      <w:r w:rsidR="00B6468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B6468B">
        <w:rPr>
          <w:rFonts w:ascii="Arial" w:hAnsi="Arial" w:cs="Arial"/>
          <w:b/>
          <w:color w:val="auto"/>
          <w:sz w:val="24"/>
          <w:szCs w:val="24"/>
        </w:rPr>
        <w:t>20</w:t>
      </w:r>
      <w:r w:rsidR="009836AB">
        <w:rPr>
          <w:rFonts w:ascii="Arial" w:hAnsi="Arial" w:cs="Arial"/>
          <w:b/>
          <w:color w:val="auto"/>
          <w:sz w:val="24"/>
          <w:szCs w:val="24"/>
        </w:rPr>
        <w:t>20</w:t>
      </w:r>
      <w:r w:rsidR="00B6468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7265"/>
      </w:tblGrid>
      <w:tr w:rsidR="00CA516B" w:rsidRPr="002B50C0" w14:paraId="4EB54A58" w14:textId="77777777" w:rsidTr="00230891">
        <w:trPr>
          <w:trHeight w:val="57"/>
        </w:trPr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DDA6957" w:rsidR="00CA516B" w:rsidRPr="002B50C0" w:rsidRDefault="00B6468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Baza Informacji Naukowych Wspierających Innowacyjne Terapie - BINWIT</w:t>
            </w:r>
          </w:p>
        </w:tc>
      </w:tr>
      <w:tr w:rsidR="00CA516B" w:rsidRPr="002B50C0" w14:paraId="05B59807" w14:textId="77777777" w:rsidTr="00230891">
        <w:trPr>
          <w:trHeight w:val="57"/>
        </w:trPr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3639632" w:rsidR="00CA516B" w:rsidRPr="00141A92" w:rsidRDefault="00B6468B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INSTYTUT IMMUNOLOGII I TERAPII DOŚWIADCZALNEJ IM. LUDWIKA HIRSZFE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DA POLSKIEJ AKADEMII NAUK WE WROCŁAWIU</w:t>
            </w:r>
          </w:p>
        </w:tc>
      </w:tr>
      <w:tr w:rsidR="00CA516B" w:rsidRPr="0030196F" w14:paraId="719B01E2" w14:textId="77777777" w:rsidTr="00230891">
        <w:trPr>
          <w:trHeight w:val="57"/>
        </w:trPr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DA6ACC0" w:rsidR="00CA516B" w:rsidRPr="006822BC" w:rsidRDefault="00B6468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INSTYTUT IMMUNOLOGII I TERAPII DOŚWIADCZALNEJ IM. LUDWIKA HIRSZFE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DA POLSKIEJ AKADEMII NAUK WE WROCŁAWIU</w:t>
            </w:r>
          </w:p>
        </w:tc>
      </w:tr>
      <w:tr w:rsidR="00CA516B" w:rsidRPr="002B50C0" w14:paraId="3FF7E21D" w14:textId="77777777" w:rsidTr="00230891">
        <w:trPr>
          <w:trHeight w:val="57"/>
        </w:trPr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96AA7E9" w:rsidR="00CA516B" w:rsidRPr="00141A92" w:rsidRDefault="00B6468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Nie dotyczy. Projekt nie jest realizowany w partnerstwie.</w:t>
            </w:r>
          </w:p>
        </w:tc>
      </w:tr>
      <w:tr w:rsidR="00B6468B" w:rsidRPr="002B50C0" w14:paraId="31CB12D6" w14:textId="77777777" w:rsidTr="00230891">
        <w:trPr>
          <w:trHeight w:val="57"/>
        </w:trPr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B6468B" w:rsidRPr="008A332F" w:rsidRDefault="00B6468B" w:rsidP="00B6468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E03FA" w14:textId="77777777" w:rsidR="00B6468B" w:rsidRDefault="00B6468B" w:rsidP="00B6468B">
            <w:pPr>
              <w:spacing w:after="0" w:line="240" w:lineRule="auto"/>
            </w:pPr>
            <w:r>
              <w:rPr>
                <w:rFonts w:ascii="Arial" w:eastAsia="Times New Roman" w:hAnsi="Arial" w:cs="Times New Roman"/>
                <w:sz w:val="20"/>
                <w:szCs w:val="20"/>
                <w:u w:val="single"/>
                <w:lang w:eastAsia="pl-PL"/>
              </w:rPr>
              <w:t>Budżet Państwa: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 28. Nauka</w:t>
            </w:r>
          </w:p>
          <w:p w14:paraId="21DB3A2E" w14:textId="77777777" w:rsidR="00B6468B" w:rsidRDefault="00B6468B" w:rsidP="00B6468B">
            <w:pPr>
              <w:spacing w:after="0" w:line="240" w:lineRule="auto"/>
              <w:rPr>
                <w:rFonts w:ascii="Arial" w:eastAsia="MS MinNew Roman" w:hAnsi="Arial" w:cs="Times New Roman"/>
                <w:sz w:val="20"/>
                <w:szCs w:val="20"/>
                <w:lang w:eastAsia="pl-PL"/>
              </w:rPr>
            </w:pPr>
          </w:p>
          <w:p w14:paraId="55582688" w14:textId="7253BE90" w:rsidR="00B6468B" w:rsidRPr="00141A92" w:rsidRDefault="00B6468B" w:rsidP="00B6468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MS MinNew Roman" w:hAnsi="Arial" w:cs="Times New Roman"/>
                <w:sz w:val="20"/>
                <w:szCs w:val="20"/>
                <w:u w:val="single"/>
                <w:lang w:eastAsia="pl-PL"/>
              </w:rPr>
              <w:t>Środki UE:</w:t>
            </w:r>
            <w:r>
              <w:rPr>
                <w:rFonts w:ascii="Arial" w:eastAsia="MS MinNew Roman" w:hAnsi="Arial" w:cs="Times New Roman"/>
                <w:sz w:val="20"/>
                <w:szCs w:val="20"/>
                <w:lang w:eastAsia="pl-PL"/>
              </w:rPr>
              <w:t xml:space="preserve"> - POPC – Oś Priorytetowa II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E – Administracja i Otwarty Rząd - Działanie 2.3 Cyfrowa dostępność i użyteczność informacji sektora publicznego - Poddziałanie 2.3.1 Cyfrowe udostępnienie informacji sektora publicznego (ISP) ze źródeł administracyjnych i zasobów nauki </w:t>
            </w:r>
          </w:p>
        </w:tc>
      </w:tr>
      <w:tr w:rsidR="00B6468B" w:rsidRPr="002B50C0" w14:paraId="2772BBC9" w14:textId="77777777" w:rsidTr="00230891">
        <w:trPr>
          <w:trHeight w:val="57"/>
        </w:trPr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B6468B" w:rsidRDefault="00B6468B" w:rsidP="00B6468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B6468B" w:rsidRPr="008A332F" w:rsidRDefault="00B6468B" w:rsidP="00B6468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707853A" w:rsidR="00B6468B" w:rsidRPr="00141A92" w:rsidRDefault="00B6468B" w:rsidP="00B6468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18867895.65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zł</w:t>
            </w:r>
            <w:proofErr w:type="gramEnd"/>
          </w:p>
        </w:tc>
      </w:tr>
      <w:tr w:rsidR="00B6468B" w:rsidRPr="002B50C0" w14:paraId="6CD831AF" w14:textId="77777777" w:rsidTr="00230891">
        <w:trPr>
          <w:trHeight w:val="57"/>
        </w:trPr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B6468B" w:rsidRPr="008A332F" w:rsidRDefault="00B6468B" w:rsidP="00B6468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36056C1" w:rsidR="00B6468B" w:rsidRPr="00141A92" w:rsidRDefault="00B6468B" w:rsidP="00B6468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18867895.65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zł</w:t>
            </w:r>
            <w:proofErr w:type="gramEnd"/>
          </w:p>
        </w:tc>
      </w:tr>
      <w:tr w:rsidR="00922532" w:rsidRPr="002B50C0" w14:paraId="716F76F2" w14:textId="77777777" w:rsidTr="00230891">
        <w:trPr>
          <w:trHeight w:val="57"/>
        </w:trPr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B6468B" w:rsidRDefault="00B6468B" w:rsidP="00B6468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B6468B" w:rsidRPr="008A332F" w:rsidRDefault="00B6468B" w:rsidP="00B6468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68C2AB" w14:textId="4F4E03F4" w:rsidR="00B6468B" w:rsidRPr="00B6468B" w:rsidRDefault="00B6468B" w:rsidP="00B6468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6468B">
              <w:rPr>
                <w:rFonts w:ascii="Arial" w:hAnsi="Arial" w:cs="Arial"/>
                <w:sz w:val="18"/>
                <w:szCs w:val="18"/>
              </w:rPr>
              <w:t>data rozpoczęcia realizacji projektu: 1.08.2018</w:t>
            </w:r>
          </w:p>
          <w:p w14:paraId="55CE9679" w14:textId="6DCB00E9" w:rsidR="00922532" w:rsidRPr="00B6468B" w:rsidRDefault="00B6468B" w:rsidP="00B6468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6468B">
              <w:rPr>
                <w:rFonts w:ascii="Arial" w:hAnsi="Arial" w:cs="Arial"/>
                <w:sz w:val="18"/>
                <w:szCs w:val="18"/>
              </w:rPr>
              <w:t>data zakończenia realizacji projektu</w:t>
            </w:r>
            <w:r w:rsidR="00922532" w:rsidRPr="00B6468B">
              <w:rPr>
                <w:rFonts w:ascii="Arial" w:hAnsi="Arial" w:cs="Arial"/>
                <w:sz w:val="18"/>
                <w:szCs w:val="18"/>
              </w:rPr>
              <w:t>: 31.07.2021</w:t>
            </w:r>
          </w:p>
        </w:tc>
      </w:tr>
    </w:tbl>
    <w:p w14:paraId="30071234" w14:textId="78DBA29A" w:rsidR="00922532" w:rsidRPr="00141A92" w:rsidRDefault="00922532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02EB4090" w:rsidR="00922532" w:rsidRPr="00F25348" w:rsidRDefault="00922532" w:rsidP="00B6468B">
      <w:pPr>
        <w:pStyle w:val="Nagwek2"/>
        <w:ind w:left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Pr="002B50C0">
        <w:rPr>
          <w:rFonts w:ascii="Arial" w:hAnsi="Arial" w:cs="Arial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Nie dotyczy.</w:t>
      </w:r>
      <w:r>
        <w:rPr>
          <w:rFonts w:ascii="Arial" w:hAnsi="Arial" w:cs="Arial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Projekt nie wymaga zmian legislacyjnych.  </w:t>
      </w:r>
    </w:p>
    <w:p w14:paraId="147B986C" w14:textId="7DF867C4" w:rsidR="00922532" w:rsidRPr="00141A92" w:rsidRDefault="00922532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544"/>
      </w:tblGrid>
      <w:tr w:rsidR="00922532" w:rsidRPr="002B50C0" w14:paraId="7001934B" w14:textId="77777777" w:rsidTr="00230891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22532" w:rsidRPr="00141A92" w:rsidRDefault="00922532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22532" w:rsidRPr="00141A92" w:rsidRDefault="0092253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420C6167" w14:textId="5628981B" w:rsidR="00922532" w:rsidRPr="00141A92" w:rsidRDefault="0092253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22532" w:rsidRPr="002B50C0" w14:paraId="59735F91" w14:textId="77777777" w:rsidTr="000A38D1">
        <w:tc>
          <w:tcPr>
            <w:tcW w:w="2972" w:type="dxa"/>
            <w:vAlign w:val="center"/>
          </w:tcPr>
          <w:p w14:paraId="077C8D26" w14:textId="3F767F34" w:rsidR="00922532" w:rsidRPr="00141A92" w:rsidRDefault="004457A7" w:rsidP="000A38D1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55,53</w:t>
            </w:r>
            <w:r w:rsidR="00FD3FA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vAlign w:val="center"/>
          </w:tcPr>
          <w:p w14:paraId="610DB952" w14:textId="0AB8DBFB" w:rsidR="008875B4" w:rsidRDefault="00EF3D53" w:rsidP="000A38D1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68,64</w:t>
            </w:r>
            <w:r w:rsidR="00FD3FA0" w:rsidRPr="005370F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2E3B9AA6" w:rsidR="00922532" w:rsidRPr="00141A92" w:rsidRDefault="00EF3D53" w:rsidP="000A38D1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68,64</w:t>
            </w:r>
            <w:r w:rsidR="00FD3FA0" w:rsidRPr="005370F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544" w:type="dxa"/>
            <w:vAlign w:val="center"/>
          </w:tcPr>
          <w:p w14:paraId="65BB31D3" w14:textId="455F536C" w:rsidR="00922532" w:rsidRPr="00141A92" w:rsidRDefault="00EF3D53" w:rsidP="000A38D1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91,18</w:t>
            </w:r>
            <w:r w:rsidR="00FD3FA0" w:rsidRPr="005370F0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922532" w:rsidRPr="002B50C0" w:rsidRDefault="00922532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669B9057" w:rsidR="00922532" w:rsidRPr="002B50C0" w:rsidRDefault="00922532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922532" w:rsidRPr="00141A92" w:rsidRDefault="00922532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894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23"/>
        <w:gridCol w:w="2268"/>
        <w:gridCol w:w="1306"/>
        <w:gridCol w:w="1418"/>
        <w:gridCol w:w="2379"/>
      </w:tblGrid>
      <w:tr w:rsidR="00230891" w14:paraId="07884A1A" w14:textId="77777777" w:rsidTr="002D5DE7">
        <w:trPr>
          <w:tblHeader/>
        </w:trPr>
        <w:tc>
          <w:tcPr>
            <w:tcW w:w="2523" w:type="dxa"/>
            <w:shd w:val="clear" w:color="auto" w:fill="D0CECE" w:themeFill="background2" w:themeFillShade="E6"/>
            <w:vAlign w:val="center"/>
          </w:tcPr>
          <w:p w14:paraId="0D821798" w14:textId="77777777" w:rsidR="00922532" w:rsidRDefault="00922532" w:rsidP="004952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2CFCB5B" w14:textId="2A6407C9" w:rsidR="00922532" w:rsidRDefault="00922532" w:rsidP="00495277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projektu</w:t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08B93130" w14:textId="77777777" w:rsidR="00230891" w:rsidRDefault="00230891" w:rsidP="004952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43A0AAB8" w14:textId="77777777" w:rsidR="00230891" w:rsidRDefault="00230891" w:rsidP="004952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</w:t>
            </w:r>
            <w:r>
              <w:rPr>
                <w:rFonts w:ascii="Arial" w:hAnsi="Arial" w:cs="Arial"/>
                <w:b/>
                <w:sz w:val="20"/>
                <w:szCs w:val="20"/>
              </w:rPr>
              <w:t>ą</w:t>
            </w:r>
            <w:r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379" w:type="dxa"/>
            <w:shd w:val="clear" w:color="auto" w:fill="D0CECE" w:themeFill="background2" w:themeFillShade="E6"/>
          </w:tcPr>
          <w:p w14:paraId="05C23C19" w14:textId="77777777" w:rsidR="00230891" w:rsidRDefault="00230891" w:rsidP="004952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mienia milowego</w:t>
            </w:r>
          </w:p>
        </w:tc>
      </w:tr>
      <w:tr w:rsidR="00230891" w:rsidRPr="00521A99" w14:paraId="19BBEC00" w14:textId="77777777" w:rsidTr="002D5DE7">
        <w:tc>
          <w:tcPr>
            <w:tcW w:w="2523" w:type="dxa"/>
            <w:shd w:val="clear" w:color="auto" w:fill="auto"/>
          </w:tcPr>
          <w:p w14:paraId="128F71B5" w14:textId="77777777" w:rsidR="00230891" w:rsidRPr="00521A99" w:rsidRDefault="00230891" w:rsidP="00495277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systemu akwizycji, digitalizacji i a</w:t>
            </w: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</w:t>
            </w: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chiwizacji obrazów mikr</w:t>
            </w: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skopowych</w:t>
            </w:r>
          </w:p>
        </w:tc>
        <w:tc>
          <w:tcPr>
            <w:tcW w:w="2268" w:type="dxa"/>
            <w:shd w:val="clear" w:color="auto" w:fill="auto"/>
          </w:tcPr>
          <w:p w14:paraId="2409F151" w14:textId="77777777" w:rsidR="00230891" w:rsidRPr="00521A99" w:rsidRDefault="00230891" w:rsidP="00495277">
            <w:pPr>
              <w:spacing w:before="80" w:after="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9000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2C7B6B9F" w14:textId="77777777" w:rsidR="00230891" w:rsidRPr="00521A99" w:rsidRDefault="00230891" w:rsidP="00495277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DC7946" w14:textId="77777777" w:rsidR="00230891" w:rsidRPr="00521A99" w:rsidRDefault="00230891" w:rsidP="00495277">
            <w:pPr>
              <w:pStyle w:val="Akapitzlist"/>
              <w:spacing w:before="60" w:after="60"/>
              <w:ind w:left="7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462522FC" w14:textId="77777777" w:rsidR="00230891" w:rsidRPr="00521A99" w:rsidRDefault="00230891" w:rsidP="00495277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>
              <w:t>osiągnięty</w:t>
            </w:r>
            <w:proofErr w:type="gramEnd"/>
          </w:p>
        </w:tc>
      </w:tr>
      <w:tr w:rsidR="00230891" w:rsidRPr="00521A99" w14:paraId="3E4B8970" w14:textId="77777777" w:rsidTr="002D5DE7">
        <w:tc>
          <w:tcPr>
            <w:tcW w:w="2523" w:type="dxa"/>
            <w:shd w:val="clear" w:color="auto" w:fill="auto"/>
          </w:tcPr>
          <w:p w14:paraId="5959764B" w14:textId="77777777" w:rsidR="00230891" w:rsidRPr="00521A99" w:rsidRDefault="00230891" w:rsidP="00495277">
            <w:pPr>
              <w:spacing w:before="60" w:after="6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Uruchomienie systemu do digitalizacji sekwencji </w:t>
            </w: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nukleotydowych</w:t>
            </w:r>
          </w:p>
        </w:tc>
        <w:tc>
          <w:tcPr>
            <w:tcW w:w="2268" w:type="dxa"/>
            <w:shd w:val="clear" w:color="auto" w:fill="auto"/>
          </w:tcPr>
          <w:p w14:paraId="581C0139" w14:textId="77777777" w:rsidR="00230891" w:rsidRPr="00521A99" w:rsidRDefault="00230891" w:rsidP="00495277">
            <w:pPr>
              <w:spacing w:before="80" w:after="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9000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567C9B7" w14:textId="77777777" w:rsidR="00230891" w:rsidRPr="00521A99" w:rsidRDefault="00230891" w:rsidP="00495277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B23B6F" w14:textId="77777777" w:rsidR="00230891" w:rsidRPr="00521A99" w:rsidRDefault="00230891" w:rsidP="00495277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059EF5E2" w14:textId="73A8471A" w:rsidR="00230891" w:rsidRPr="00521A99" w:rsidRDefault="008B5546" w:rsidP="00495277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>
              <w:t>o</w:t>
            </w:r>
            <w:r w:rsidR="00230891">
              <w:t>siągnięty</w:t>
            </w:r>
            <w:proofErr w:type="gramEnd"/>
          </w:p>
        </w:tc>
      </w:tr>
      <w:tr w:rsidR="00230891" w:rsidRPr="00D80557" w14:paraId="1A99560F" w14:textId="77777777" w:rsidTr="002D5DE7">
        <w:tc>
          <w:tcPr>
            <w:tcW w:w="2523" w:type="dxa"/>
            <w:shd w:val="clear" w:color="auto" w:fill="auto"/>
          </w:tcPr>
          <w:p w14:paraId="72E45936" w14:textId="59BF3B59" w:rsidR="00230891" w:rsidRPr="00D80557" w:rsidRDefault="00230891" w:rsidP="0049527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Uruchomienie </w:t>
            </w:r>
            <w:r w:rsidR="008B554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transmisyjnego mikroskopu </w:t>
            </w:r>
            <w:r w:rsidR="008B554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elektronowego</w:t>
            </w:r>
            <w:r w:rsidR="008B554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14:paraId="3D3F706B" w14:textId="77777777" w:rsidR="00230891" w:rsidRPr="00D80557" w:rsidRDefault="00230891" w:rsidP="00495277">
            <w:pPr>
              <w:spacing w:before="80" w:after="80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9000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5C87FD4" w14:textId="77777777" w:rsidR="00230891" w:rsidRPr="00D80557" w:rsidRDefault="00230891" w:rsidP="0049527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DCC261" w14:textId="535FE42F" w:rsidR="00230891" w:rsidRPr="00D80557" w:rsidRDefault="0058345D" w:rsidP="0058345D">
            <w:pPr>
              <w:spacing w:before="60" w:after="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0FCA309F" w14:textId="77777777" w:rsidR="002D5DE7" w:rsidRDefault="008B5546" w:rsidP="008B554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="00FD3FA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siągnięty</w:t>
            </w:r>
            <w:proofErr w:type="gramEnd"/>
            <w:r w:rsidR="002D5DE7"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24EA1685" w14:textId="77777777" w:rsidR="00056BB2" w:rsidRDefault="00056BB2" w:rsidP="008B554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(Przekroczenie: 121 dni)</w:t>
            </w:r>
          </w:p>
          <w:p w14:paraId="05C23CE6" w14:textId="4079ABDC" w:rsidR="00056BB2" w:rsidRPr="002D5DE7" w:rsidRDefault="00056BB2" w:rsidP="00056BB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Wyjaśnienie: 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Wyłoniony dostawca, firma JEOL,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oddział w Polsce 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r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mach szczegółowych uzgodnień terminu dost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 zaproponował datę dostawy i zakończenia instalacji znacznie prz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kraczającą datę zawartą w podpisanej umowie i datę ostateczną kamienia mil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wego. Powodem opóźni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nia były ograniczenia pr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ducenta związane z met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dą i możliwościami pr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dukcji. Każdy egzemplarz mikroskopu jest produk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wany według indywidua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nego zapotrzebowania klienta. Zakupiony mikr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skop jest nowym modelem wprowadzonym na rynek, posiadającym wiele p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szukiwanych rozwiązań technicznych</w:t>
            </w:r>
            <w:r w:rsidR="00B66A0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co spow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dowało duży popyt na ten model mikroskopu. Prod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cent z uwagi na sposób produkcji, metodę dosta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czania i </w:t>
            </w:r>
            <w:proofErr w:type="gramStart"/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kontroli jakości</w:t>
            </w:r>
            <w:proofErr w:type="gramEnd"/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nie był w stanie dostarczyć urządzenia w pierwotnie zakładanym terminie. </w:t>
            </w:r>
          </w:p>
          <w:p w14:paraId="2B19DF54" w14:textId="07A6E7C0" w:rsidR="00056BB2" w:rsidRPr="00D80557" w:rsidRDefault="00056BB2" w:rsidP="00056BB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wyniki rozmów z os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bami odpowiedzialnymi na wszystkich szczeblach koncernu JOEL udało się osiągnąć porozumienie w wyniku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którego, zami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niono planowany, trwający 5 tygodn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 transport morski na transport lotniczy. W wyniku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przeprowadzonych rozmów znacznie zniw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lowano ryzyko opóźnienia realizacji projektu. Urz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ą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dzenie zostało dostarcz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ne do beneficjenta 27 września 2019. Natyc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miast rozpoczęła się inst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lacja zakończona ost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tecznie 8 listopada 2019. Prace instalacyjne real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zowane były bez przerw i opóźnień. Dostawca prz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prowadził szkolenie dla osób obsługujących urz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ą</w:t>
            </w:r>
            <w:r w:rsidRPr="002D5DE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dzenie.</w:t>
            </w:r>
          </w:p>
        </w:tc>
      </w:tr>
      <w:tr w:rsidR="00230891" w:rsidRPr="00D80557" w14:paraId="0763A523" w14:textId="77777777" w:rsidTr="002D5DE7">
        <w:tc>
          <w:tcPr>
            <w:tcW w:w="2523" w:type="dxa"/>
            <w:shd w:val="clear" w:color="auto" w:fill="auto"/>
          </w:tcPr>
          <w:p w14:paraId="07874E4D" w14:textId="77777777" w:rsidR="00230891" w:rsidRPr="00D80557" w:rsidRDefault="00230891" w:rsidP="0049527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Zdigitalizowanie</w:t>
            </w:r>
            <w:proofErr w:type="spellEnd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wybranych zasobów 3000 </w:t>
            </w:r>
            <w:proofErr w:type="spell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6CD39312" w14:textId="77777777" w:rsidR="00230891" w:rsidRPr="00D80557" w:rsidRDefault="00230891" w:rsidP="00495277">
            <w:pPr>
              <w:spacing w:before="80" w:after="80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 9000</w:t>
            </w:r>
          </w:p>
          <w:p w14:paraId="0BBE1519" w14:textId="77777777" w:rsidR="00230891" w:rsidRPr="00D80557" w:rsidRDefault="00230891" w:rsidP="00495277">
            <w:pPr>
              <w:spacing w:before="80" w:after="80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9000</w:t>
            </w:r>
          </w:p>
          <w:p w14:paraId="163C27CB" w14:textId="77777777" w:rsidR="00230891" w:rsidRPr="00D80557" w:rsidRDefault="00230891" w:rsidP="00495277">
            <w:pPr>
              <w:spacing w:before="80" w:after="80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V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2 TB</w:t>
            </w:r>
          </w:p>
          <w:p w14:paraId="1CCF43B5" w14:textId="77777777" w:rsidR="00230891" w:rsidRPr="00D80557" w:rsidRDefault="00230891" w:rsidP="00495277">
            <w:pPr>
              <w:spacing w:before="80" w:after="80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Nr wskaźnika: V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2 TB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66529A1" w14:textId="77777777" w:rsidR="00230891" w:rsidRPr="00D80557" w:rsidRDefault="00230891" w:rsidP="0049527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12-2019</w:t>
            </w:r>
          </w:p>
        </w:tc>
        <w:tc>
          <w:tcPr>
            <w:tcW w:w="1418" w:type="dxa"/>
            <w:shd w:val="clear" w:color="auto" w:fill="auto"/>
          </w:tcPr>
          <w:p w14:paraId="01FAEC25" w14:textId="77777777" w:rsidR="00230891" w:rsidRPr="00D80557" w:rsidRDefault="00230891" w:rsidP="0049527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1241F513" w14:textId="5D38F173" w:rsidR="00230891" w:rsidRPr="0058345D" w:rsidRDefault="00230891" w:rsidP="0058345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8345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</w:t>
            </w:r>
            <w:r w:rsidR="0058345D" w:rsidRPr="0058345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345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realizacji</w:t>
            </w:r>
            <w:r w:rsidR="00FD3FA0" w:rsidRPr="0058345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58345D" w:rsidRPr="0058345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="0058345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</w:t>
            </w:r>
            <w:r w:rsidR="0058345D" w:rsidRPr="0058345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ealizacja tego kamienia milowego jest zależna od realizacji kamienia mil</w:t>
            </w:r>
            <w:r w:rsidR="0058345D" w:rsidRPr="0058345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="0058345D" w:rsidRPr="0058345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wego </w:t>
            </w:r>
            <w:proofErr w:type="spellStart"/>
            <w:r w:rsidR="0058345D" w:rsidRPr="0058345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pn</w:t>
            </w:r>
            <w:proofErr w:type="spellEnd"/>
            <w:r w:rsidR="0058345D" w:rsidRPr="0058345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.”</w:t>
            </w:r>
            <w:r w:rsidR="0058345D"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transmisyjnego mikrosk</w:t>
            </w:r>
            <w:r w:rsidR="0058345D"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="0058345D"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pu elektronowego</w:t>
            </w:r>
            <w:r w:rsidR="0058345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”. </w:t>
            </w:r>
            <w:r w:rsidR="008B554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="0058345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Opóźnienie w dostawie </w:t>
            </w:r>
            <w:r w:rsidR="008B554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="0058345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i instalacji mikroskopu spowodowało opóźnienie w procesie digitalizacji</w:t>
            </w:r>
            <w:r w:rsidR="008B554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="0058345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materiałów. </w:t>
            </w:r>
            <w:r w:rsidR="008B554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</w:p>
        </w:tc>
      </w:tr>
      <w:tr w:rsidR="00230891" w:rsidRPr="00D80557" w14:paraId="392ABBC1" w14:textId="77777777" w:rsidTr="002D5DE7">
        <w:tc>
          <w:tcPr>
            <w:tcW w:w="2523" w:type="dxa"/>
            <w:shd w:val="clear" w:color="auto" w:fill="auto"/>
          </w:tcPr>
          <w:p w14:paraId="14C2E1EB" w14:textId="77777777" w:rsidR="00230891" w:rsidRPr="00D80557" w:rsidRDefault="00230891" w:rsidP="0049527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Zdigitalizowanie</w:t>
            </w:r>
            <w:proofErr w:type="spellEnd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wybranych zasobów 6000 </w:t>
            </w:r>
            <w:proofErr w:type="spell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1361C2AD" w14:textId="77777777" w:rsidR="00230891" w:rsidRPr="00D80557" w:rsidRDefault="00230891" w:rsidP="00495277">
            <w:pPr>
              <w:spacing w:before="80" w:after="80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 9000</w:t>
            </w:r>
          </w:p>
          <w:p w14:paraId="28761335" w14:textId="77777777" w:rsidR="00230891" w:rsidRPr="00D80557" w:rsidRDefault="00230891" w:rsidP="00495277">
            <w:pPr>
              <w:spacing w:before="80" w:after="80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9000</w:t>
            </w:r>
          </w:p>
          <w:p w14:paraId="54CBA01C" w14:textId="77777777" w:rsidR="00230891" w:rsidRPr="00D80557" w:rsidRDefault="00230891" w:rsidP="00495277">
            <w:pPr>
              <w:spacing w:before="80" w:after="80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V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2 TB</w:t>
            </w:r>
          </w:p>
          <w:p w14:paraId="22CA336E" w14:textId="77777777" w:rsidR="00230891" w:rsidRPr="00D80557" w:rsidRDefault="00230891" w:rsidP="00495277">
            <w:pPr>
              <w:spacing w:before="80" w:after="80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VIII.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 2 TB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223D3F5" w14:textId="77777777" w:rsidR="00230891" w:rsidRPr="00D80557" w:rsidRDefault="00230891" w:rsidP="0049527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418" w:type="dxa"/>
            <w:shd w:val="clear" w:color="auto" w:fill="auto"/>
          </w:tcPr>
          <w:p w14:paraId="73874567" w14:textId="77777777" w:rsidR="00230891" w:rsidRPr="00D80557" w:rsidRDefault="00230891" w:rsidP="0049527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277E73BC" w14:textId="77777777" w:rsidR="00230891" w:rsidRPr="00D80557" w:rsidRDefault="00230891" w:rsidP="0049527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  <w:proofErr w:type="gramEnd"/>
          </w:p>
        </w:tc>
      </w:tr>
      <w:tr w:rsidR="00230891" w:rsidRPr="00D80557" w14:paraId="7AC39A5E" w14:textId="77777777" w:rsidTr="002D5DE7">
        <w:tc>
          <w:tcPr>
            <w:tcW w:w="2523" w:type="dxa"/>
            <w:shd w:val="clear" w:color="auto" w:fill="auto"/>
          </w:tcPr>
          <w:p w14:paraId="3771A764" w14:textId="77777777" w:rsidR="00230891" w:rsidRPr="00D80557" w:rsidRDefault="00230891" w:rsidP="0049527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Zaprojektowanie platformy BINWIT</w:t>
            </w:r>
          </w:p>
        </w:tc>
        <w:tc>
          <w:tcPr>
            <w:tcW w:w="2268" w:type="dxa"/>
            <w:shd w:val="clear" w:color="auto" w:fill="auto"/>
          </w:tcPr>
          <w:p w14:paraId="1E2F7DB9" w14:textId="77777777" w:rsidR="00230891" w:rsidRDefault="00230891" w:rsidP="00495277">
            <w:pPr>
              <w:spacing w:before="80" w:after="80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1EF6E63F" w14:textId="77777777" w:rsidR="00230891" w:rsidRDefault="00230891" w:rsidP="00495277">
            <w:pPr>
              <w:spacing w:before="80" w:after="80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00EBAFAB" w14:textId="77777777" w:rsidR="00230891" w:rsidRPr="00D80557" w:rsidRDefault="00230891" w:rsidP="00495277">
            <w:pPr>
              <w:spacing w:before="80" w:after="80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CBEF01C" w14:textId="77777777" w:rsidR="00230891" w:rsidRPr="00D80557" w:rsidRDefault="00230891" w:rsidP="0049527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0E5CD4" w14:textId="77777777" w:rsidR="00230891" w:rsidRPr="00D80557" w:rsidRDefault="00230891" w:rsidP="00495277">
            <w:pPr>
              <w:ind w:left="177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660C23BB" w14:textId="77777777" w:rsidR="00230891" w:rsidRPr="00D80557" w:rsidRDefault="00230891" w:rsidP="0049527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>
              <w:t>osiągnięty</w:t>
            </w:r>
            <w:proofErr w:type="gramEnd"/>
          </w:p>
        </w:tc>
      </w:tr>
      <w:tr w:rsidR="00230891" w:rsidRPr="00D80557" w14:paraId="16AE4905" w14:textId="77777777" w:rsidTr="002D5DE7">
        <w:tc>
          <w:tcPr>
            <w:tcW w:w="2523" w:type="dxa"/>
            <w:shd w:val="clear" w:color="auto" w:fill="auto"/>
          </w:tcPr>
          <w:p w14:paraId="3D05F565" w14:textId="77777777" w:rsidR="00230891" w:rsidRPr="00D80557" w:rsidRDefault="00230891" w:rsidP="0049527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Implementacja 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programistyczna platformy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BINWIT</w:t>
            </w:r>
          </w:p>
        </w:tc>
        <w:tc>
          <w:tcPr>
            <w:tcW w:w="2268" w:type="dxa"/>
            <w:shd w:val="clear" w:color="auto" w:fill="auto"/>
          </w:tcPr>
          <w:p w14:paraId="28A3F73D" w14:textId="77777777" w:rsidR="00230891" w:rsidRDefault="00230891" w:rsidP="00495277">
            <w:pPr>
              <w:spacing w:before="80" w:after="80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3550A6F1" w14:textId="77777777" w:rsidR="00230891" w:rsidRDefault="00230891" w:rsidP="00495277">
            <w:pPr>
              <w:spacing w:before="80" w:after="80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722145D6" w14:textId="77777777" w:rsidR="00230891" w:rsidRPr="00D80557" w:rsidRDefault="00230891" w:rsidP="00495277">
            <w:pPr>
              <w:spacing w:before="80" w:after="80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01811E3A" w14:textId="77777777" w:rsidR="00230891" w:rsidRPr="00D80557" w:rsidRDefault="00230891" w:rsidP="0049527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418" w:type="dxa"/>
            <w:shd w:val="clear" w:color="auto" w:fill="auto"/>
          </w:tcPr>
          <w:p w14:paraId="517157BC" w14:textId="77777777" w:rsidR="00230891" w:rsidRPr="00D80557" w:rsidRDefault="00230891" w:rsidP="0049527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19B419E0" w14:textId="77777777" w:rsidR="00230891" w:rsidRDefault="00230891" w:rsidP="0049527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 trakcie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realizacji</w:t>
            </w:r>
          </w:p>
          <w:p w14:paraId="043F97C6" w14:textId="7573ECA4" w:rsidR="00DE5755" w:rsidRPr="00D80557" w:rsidRDefault="00703B9A" w:rsidP="00B66A0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Zakończono proces i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plementacji modułu baz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danowego platformy. A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tualnie trwają wstępne testy funkcjonalne, oraz rozpoczęto proces wpr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wadzania </w:t>
            </w:r>
            <w:proofErr w:type="spellStart"/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</w:t>
            </w:r>
            <w:proofErr w:type="spellEnd"/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danych. W przygot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waniu jest proces impl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mentacji zewnętrznego modułu dostępowego do danych. Implementacja przebiega w ścisłej wspó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pracy z przedstawicielami zespołów specjalistyc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B66A0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</w:t>
            </w:r>
            <w:bookmarkStart w:id="0" w:name="_GoBack"/>
            <w:bookmarkEnd w:id="0"/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ojawiały się pr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blemy we współpracy z firmą realizująca impl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mentację platformy BI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WIT. W począ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kowym okresie współpracy wyk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nawca platformy zaang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żował zbyt małe środki w realizacje zadań, co p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wodowało powst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wanie bieżących opóźnień w procesie budowy platfo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my. Problemem było ró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nież niewłaściwe zarz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ą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dzanie w zakresie an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lityki po stronie wykonawcy platformy. Po dodatkowych interwencjach i spotk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niach z zarządem wyk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nawcy, wdr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żono system współpracy oparty na większych zasobach lud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kich po stronie wykonawcy i częstszych spotkaniach z 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przedstawicielami zesp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łów specjal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stycznych. W komunikację oraz procesy analityczne zaangażowano również firmę wykonująca usługę polegającą na doradztwie technicznym, organizacy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</w:t>
            </w:r>
            <w:r w:rsidRPr="00703B9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nym i wsparciu realizacji projektu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230891" w:rsidRPr="00D80557" w14:paraId="2E68EAE4" w14:textId="77777777" w:rsidTr="002D5DE7">
        <w:tc>
          <w:tcPr>
            <w:tcW w:w="2523" w:type="dxa"/>
            <w:shd w:val="clear" w:color="auto" w:fill="auto"/>
          </w:tcPr>
          <w:p w14:paraId="3734003C" w14:textId="77777777" w:rsidR="00230891" w:rsidRPr="00D80557" w:rsidRDefault="00230891" w:rsidP="0049527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Audyt funkcjonalności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 platformy BINWIT</w:t>
            </w:r>
          </w:p>
        </w:tc>
        <w:tc>
          <w:tcPr>
            <w:tcW w:w="2268" w:type="dxa"/>
            <w:shd w:val="clear" w:color="auto" w:fill="auto"/>
          </w:tcPr>
          <w:p w14:paraId="60F9D935" w14:textId="77777777" w:rsidR="00230891" w:rsidRDefault="00230891" w:rsidP="00495277">
            <w:pPr>
              <w:spacing w:before="80" w:after="80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6C0EB72B" w14:textId="77777777" w:rsidR="00230891" w:rsidRDefault="00230891" w:rsidP="00495277">
            <w:pPr>
              <w:spacing w:before="80" w:after="80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0B95E290" w14:textId="77777777" w:rsidR="00230891" w:rsidRPr="00D80557" w:rsidRDefault="00230891" w:rsidP="00495277">
            <w:pPr>
              <w:spacing w:before="80" w:after="80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10215E32" w14:textId="77777777" w:rsidR="00230891" w:rsidRPr="00D80557" w:rsidRDefault="00230891" w:rsidP="0049527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1418" w:type="dxa"/>
            <w:shd w:val="clear" w:color="auto" w:fill="auto"/>
          </w:tcPr>
          <w:p w14:paraId="6B275A43" w14:textId="77777777" w:rsidR="00230891" w:rsidRPr="00D80557" w:rsidRDefault="00230891" w:rsidP="0049527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5FBE9BB9" w14:textId="77777777" w:rsidR="00230891" w:rsidRPr="00D80557" w:rsidRDefault="00230891" w:rsidP="0049527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  <w:proofErr w:type="gramEnd"/>
          </w:p>
        </w:tc>
      </w:tr>
      <w:tr w:rsidR="00230891" w:rsidRPr="00D80557" w14:paraId="6EFAA8DA" w14:textId="77777777" w:rsidTr="002D5DE7">
        <w:tc>
          <w:tcPr>
            <w:tcW w:w="2523" w:type="dxa"/>
            <w:shd w:val="clear" w:color="auto" w:fill="auto"/>
          </w:tcPr>
          <w:p w14:paraId="0A07E8C6" w14:textId="77777777" w:rsidR="00230891" w:rsidRPr="00D80557" w:rsidRDefault="00230891" w:rsidP="0049527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Audyt bezpieczeństwa i użyteczności platformy BINWIT</w:t>
            </w:r>
          </w:p>
        </w:tc>
        <w:tc>
          <w:tcPr>
            <w:tcW w:w="2268" w:type="dxa"/>
            <w:shd w:val="clear" w:color="auto" w:fill="auto"/>
          </w:tcPr>
          <w:p w14:paraId="6C79B364" w14:textId="77777777" w:rsidR="00230891" w:rsidRDefault="00230891" w:rsidP="00495277">
            <w:pPr>
              <w:spacing w:before="80" w:after="80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13E3FDC4" w14:textId="77777777" w:rsidR="00230891" w:rsidRDefault="00230891" w:rsidP="00495277">
            <w:pPr>
              <w:spacing w:before="80" w:after="80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2C8AF430" w14:textId="77777777" w:rsidR="00230891" w:rsidRPr="00D80557" w:rsidRDefault="00230891" w:rsidP="00495277">
            <w:pPr>
              <w:spacing w:before="80" w:after="80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9C6A0D0" w14:textId="77777777" w:rsidR="00230891" w:rsidRPr="00D80557" w:rsidRDefault="00230891" w:rsidP="0049527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01-2021</w:t>
            </w:r>
          </w:p>
        </w:tc>
        <w:tc>
          <w:tcPr>
            <w:tcW w:w="1418" w:type="dxa"/>
            <w:shd w:val="clear" w:color="auto" w:fill="auto"/>
          </w:tcPr>
          <w:p w14:paraId="0414416E" w14:textId="77777777" w:rsidR="00230891" w:rsidRPr="00D80557" w:rsidRDefault="00230891" w:rsidP="0049527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181EC1BA" w14:textId="77777777" w:rsidR="00230891" w:rsidRPr="00D80557" w:rsidRDefault="00230891" w:rsidP="0049527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  <w:proofErr w:type="gramEnd"/>
          </w:p>
        </w:tc>
      </w:tr>
      <w:tr w:rsidR="00230891" w:rsidRPr="00D80557" w14:paraId="1D0D9954" w14:textId="77777777" w:rsidTr="002D5DE7">
        <w:tc>
          <w:tcPr>
            <w:tcW w:w="2523" w:type="dxa"/>
            <w:shd w:val="clear" w:color="auto" w:fill="auto"/>
          </w:tcPr>
          <w:p w14:paraId="212C9A73" w14:textId="05B3BC5E" w:rsidR="00230891" w:rsidRPr="00D80557" w:rsidRDefault="00230891" w:rsidP="0049527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Migracja platformy BINWIT do systemu Kronik@</w:t>
            </w:r>
            <w:r w:rsidR="008B554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14:paraId="472DECF1" w14:textId="77777777" w:rsidR="00230891" w:rsidRPr="00D80557" w:rsidRDefault="00230891" w:rsidP="00495277">
            <w:pPr>
              <w:spacing w:before="80" w:after="80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47E7B81C" w14:textId="77777777" w:rsidR="00230891" w:rsidRPr="00D80557" w:rsidRDefault="00230891" w:rsidP="0049527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1418" w:type="dxa"/>
            <w:shd w:val="clear" w:color="auto" w:fill="auto"/>
          </w:tcPr>
          <w:p w14:paraId="1F8EECDB" w14:textId="77777777" w:rsidR="00230891" w:rsidRPr="00D80557" w:rsidRDefault="00230891" w:rsidP="0049527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49214980" w14:textId="3707A5D0" w:rsidR="00230891" w:rsidRPr="00D80557" w:rsidRDefault="00C378FE" w:rsidP="0049527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</w:t>
            </w:r>
            <w:r w:rsidR="00230891"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lanowany</w:t>
            </w:r>
          </w:p>
        </w:tc>
      </w:tr>
      <w:tr w:rsidR="00230891" w:rsidRPr="00D80557" w14:paraId="34279E9B" w14:textId="77777777" w:rsidTr="002D5DE7">
        <w:tc>
          <w:tcPr>
            <w:tcW w:w="2523" w:type="dxa"/>
            <w:shd w:val="clear" w:color="auto" w:fill="auto"/>
          </w:tcPr>
          <w:p w14:paraId="2DBFFF96" w14:textId="5B4E12ED" w:rsidR="00230891" w:rsidRPr="00D80557" w:rsidRDefault="00230891" w:rsidP="0049527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kampanii mu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timedialnej/ udostępnienie platformy</w:t>
            </w:r>
            <w:r w:rsidR="008B554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</w:p>
        </w:tc>
        <w:tc>
          <w:tcPr>
            <w:tcW w:w="2268" w:type="dxa"/>
            <w:shd w:val="clear" w:color="auto" w:fill="auto"/>
          </w:tcPr>
          <w:p w14:paraId="39BCEFB0" w14:textId="77777777" w:rsidR="00230891" w:rsidRPr="00D80557" w:rsidRDefault="00230891" w:rsidP="00495277">
            <w:pPr>
              <w:spacing w:before="80" w:after="80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VI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90000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204416BF" w14:textId="77777777" w:rsidR="00230891" w:rsidRPr="00D80557" w:rsidRDefault="00230891" w:rsidP="0049527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1418" w:type="dxa"/>
            <w:shd w:val="clear" w:color="auto" w:fill="auto"/>
          </w:tcPr>
          <w:p w14:paraId="6F294EC3" w14:textId="77777777" w:rsidR="00230891" w:rsidRPr="00D80557" w:rsidRDefault="00230891" w:rsidP="0049527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1EBF8395" w14:textId="74C12095" w:rsidR="00230891" w:rsidRPr="00D80557" w:rsidRDefault="00C378FE" w:rsidP="0049527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</w:t>
            </w:r>
            <w:r w:rsidR="00230891"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lanowany</w:t>
            </w:r>
          </w:p>
        </w:tc>
      </w:tr>
    </w:tbl>
    <w:p w14:paraId="64ADCCB0" w14:textId="60E61192" w:rsidR="00141A92" w:rsidRPr="00141A92" w:rsidRDefault="008B5546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br/>
      </w:r>
      <w:r w:rsidR="00CF2E64"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227"/>
        <w:gridCol w:w="850"/>
        <w:gridCol w:w="1530"/>
        <w:gridCol w:w="1447"/>
        <w:gridCol w:w="2722"/>
      </w:tblGrid>
      <w:tr w:rsidR="00230891" w:rsidRPr="002B50C0" w14:paraId="7C4B1F74" w14:textId="77777777" w:rsidTr="00230891">
        <w:trPr>
          <w:tblHeader/>
        </w:trPr>
        <w:tc>
          <w:tcPr>
            <w:tcW w:w="3227" w:type="dxa"/>
            <w:shd w:val="clear" w:color="auto" w:fill="D0CECE" w:themeFill="background2" w:themeFillShade="E6"/>
            <w:vAlign w:val="center"/>
          </w:tcPr>
          <w:p w14:paraId="1D2A07E8" w14:textId="77777777" w:rsidR="00230891" w:rsidRPr="00141A92" w:rsidRDefault="00230891" w:rsidP="004952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707E2239" w14:textId="77777777" w:rsidR="00230891" w:rsidRPr="00141A92" w:rsidRDefault="00230891" w:rsidP="004952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530" w:type="dxa"/>
            <w:shd w:val="clear" w:color="auto" w:fill="D0CECE" w:themeFill="background2" w:themeFillShade="E6"/>
            <w:vAlign w:val="center"/>
          </w:tcPr>
          <w:p w14:paraId="31F3E7D5" w14:textId="77777777" w:rsidR="00230891" w:rsidRDefault="00230891" w:rsidP="004952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511AB6B" w14:textId="77777777" w:rsidR="00230891" w:rsidRPr="00141A92" w:rsidRDefault="00230891" w:rsidP="00495277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  <w:proofErr w:type="gramEnd"/>
          </w:p>
        </w:tc>
        <w:tc>
          <w:tcPr>
            <w:tcW w:w="1447" w:type="dxa"/>
            <w:shd w:val="clear" w:color="auto" w:fill="D0CECE" w:themeFill="background2" w:themeFillShade="E6"/>
            <w:vAlign w:val="center"/>
          </w:tcPr>
          <w:p w14:paraId="41EA2E4B" w14:textId="77777777" w:rsidR="00230891" w:rsidRPr="00141A92" w:rsidRDefault="00230891" w:rsidP="004952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722" w:type="dxa"/>
            <w:shd w:val="clear" w:color="auto" w:fill="D0CECE" w:themeFill="background2" w:themeFillShade="E6"/>
            <w:vAlign w:val="center"/>
          </w:tcPr>
          <w:p w14:paraId="4FFEC7FD" w14:textId="77777777" w:rsidR="00230891" w:rsidRPr="00141A92" w:rsidRDefault="00230891" w:rsidP="004952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tu (narastająco)</w:t>
            </w:r>
          </w:p>
        </w:tc>
      </w:tr>
      <w:tr w:rsidR="00230891" w:rsidRPr="002B50C0" w14:paraId="329A92AE" w14:textId="77777777" w:rsidTr="00230891">
        <w:tc>
          <w:tcPr>
            <w:tcW w:w="3227" w:type="dxa"/>
            <w:vAlign w:val="center"/>
          </w:tcPr>
          <w:p w14:paraId="6902B094" w14:textId="77777777" w:rsidR="00230891" w:rsidRPr="00D40521" w:rsidRDefault="00230891" w:rsidP="0049527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D40521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D40521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D40521">
              <w:rPr>
                <w:rFonts w:ascii="Arial" w:hAnsi="Arial" w:cs="Arial"/>
                <w:sz w:val="18"/>
                <w:szCs w:val="18"/>
              </w:rPr>
              <w:t>Liczba podmiotów, które udostępniły on-line informacje sektora publiczn</w:t>
            </w:r>
            <w:r w:rsidRPr="00D40521">
              <w:rPr>
                <w:rFonts w:ascii="Arial" w:hAnsi="Arial" w:cs="Arial"/>
                <w:sz w:val="18"/>
                <w:szCs w:val="18"/>
              </w:rPr>
              <w:t>e</w:t>
            </w:r>
            <w:r w:rsidRPr="00D40521">
              <w:rPr>
                <w:rFonts w:ascii="Arial" w:hAnsi="Arial" w:cs="Arial"/>
                <w:sz w:val="18"/>
                <w:szCs w:val="18"/>
              </w:rPr>
              <w:t>go [szt.]</w:t>
            </w:r>
          </w:p>
        </w:tc>
        <w:tc>
          <w:tcPr>
            <w:tcW w:w="850" w:type="dxa"/>
            <w:vAlign w:val="center"/>
          </w:tcPr>
          <w:p w14:paraId="273D1F52" w14:textId="77777777" w:rsidR="00230891" w:rsidRPr="00D40521" w:rsidRDefault="00230891" w:rsidP="00495277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40521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D4052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30" w:type="dxa"/>
            <w:vAlign w:val="center"/>
          </w:tcPr>
          <w:p w14:paraId="6EE7426F" w14:textId="77777777" w:rsidR="00230891" w:rsidRPr="00D40521" w:rsidRDefault="00230891" w:rsidP="00495277">
            <w:pPr>
              <w:rPr>
                <w:rFonts w:ascii="Arial" w:hAnsi="Arial" w:cs="Arial"/>
                <w:sz w:val="18"/>
                <w:szCs w:val="18"/>
              </w:rPr>
            </w:pPr>
            <w:r w:rsidRPr="00D40521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47" w:type="dxa"/>
            <w:vAlign w:val="center"/>
          </w:tcPr>
          <w:p w14:paraId="38EC9EA0" w14:textId="77777777" w:rsidR="00230891" w:rsidRPr="00D40521" w:rsidRDefault="00230891" w:rsidP="004952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03-2021</w:t>
            </w:r>
          </w:p>
        </w:tc>
        <w:tc>
          <w:tcPr>
            <w:tcW w:w="2722" w:type="dxa"/>
            <w:vAlign w:val="center"/>
          </w:tcPr>
          <w:p w14:paraId="688E352B" w14:textId="77777777" w:rsidR="00230891" w:rsidRPr="00D40521" w:rsidRDefault="00230891" w:rsidP="004952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30891" w:rsidRPr="002B50C0" w14:paraId="1818AC55" w14:textId="77777777" w:rsidTr="00230891">
        <w:tc>
          <w:tcPr>
            <w:tcW w:w="3227" w:type="dxa"/>
            <w:vAlign w:val="center"/>
          </w:tcPr>
          <w:p w14:paraId="6EF9F1CD" w14:textId="77777777" w:rsidR="00230891" w:rsidRPr="00D40521" w:rsidRDefault="00230891" w:rsidP="00495277">
            <w:pPr>
              <w:pStyle w:val="Tekstpodstawowy2"/>
              <w:spacing w:before="60" w:after="60"/>
              <w:ind w:left="34"/>
              <w:rPr>
                <w:rFonts w:cs="Arial"/>
                <w:b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  <w:t>II</w:t>
            </w:r>
            <w:r w:rsidRPr="00D40521">
              <w:rPr>
                <w:rFonts w:cs="Arial"/>
                <w:b/>
                <w:sz w:val="18"/>
                <w:szCs w:val="18"/>
                <w:lang w:val="pl-PL"/>
              </w:rPr>
              <w:t xml:space="preserve">. </w:t>
            </w:r>
            <w:r w:rsidRPr="00D40521"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Pr="00D40521">
              <w:rPr>
                <w:rFonts w:cs="Arial"/>
                <w:sz w:val="18"/>
                <w:szCs w:val="18"/>
                <w:lang w:val="pl-PL"/>
              </w:rPr>
              <w:t xml:space="preserve">Liczba </w:t>
            </w:r>
            <w:proofErr w:type="spellStart"/>
            <w:r w:rsidRPr="00D40521">
              <w:rPr>
                <w:rFonts w:cs="Arial"/>
                <w:sz w:val="18"/>
                <w:szCs w:val="18"/>
                <w:lang w:val="pl-PL"/>
              </w:rPr>
              <w:t>zdigitalizowanych</w:t>
            </w:r>
            <w:proofErr w:type="spellEnd"/>
            <w:r w:rsidRPr="00D40521">
              <w:rPr>
                <w:rFonts w:cs="Arial"/>
                <w:sz w:val="18"/>
                <w:szCs w:val="18"/>
                <w:lang w:val="pl-PL"/>
              </w:rPr>
              <w:t xml:space="preserve"> dokume</w:t>
            </w:r>
            <w:r w:rsidRPr="00D40521">
              <w:rPr>
                <w:rFonts w:cs="Arial"/>
                <w:sz w:val="18"/>
                <w:szCs w:val="18"/>
                <w:lang w:val="pl-PL"/>
              </w:rPr>
              <w:t>n</w:t>
            </w:r>
            <w:r w:rsidRPr="00D40521">
              <w:rPr>
                <w:rFonts w:cs="Arial"/>
                <w:sz w:val="18"/>
                <w:szCs w:val="18"/>
                <w:lang w:val="pl-PL"/>
              </w:rPr>
              <w:t>tów zawierających informacje sekt</w:t>
            </w:r>
            <w:r w:rsidRPr="00D40521">
              <w:rPr>
                <w:rFonts w:cs="Arial"/>
                <w:sz w:val="18"/>
                <w:szCs w:val="18"/>
                <w:lang w:val="pl-PL"/>
              </w:rPr>
              <w:t>o</w:t>
            </w:r>
            <w:r w:rsidRPr="00D40521">
              <w:rPr>
                <w:rFonts w:cs="Arial"/>
                <w:sz w:val="18"/>
                <w:szCs w:val="18"/>
                <w:lang w:val="pl-PL"/>
              </w:rPr>
              <w:t>ra publicznego [szt.]</w:t>
            </w:r>
          </w:p>
        </w:tc>
        <w:tc>
          <w:tcPr>
            <w:tcW w:w="850" w:type="dxa"/>
            <w:vAlign w:val="center"/>
          </w:tcPr>
          <w:p w14:paraId="05BE4874" w14:textId="77777777" w:rsidR="00230891" w:rsidRPr="00D40521" w:rsidRDefault="00230891" w:rsidP="004952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30" w:type="dxa"/>
            <w:vAlign w:val="center"/>
          </w:tcPr>
          <w:p w14:paraId="6FEE2ABB" w14:textId="77777777" w:rsidR="00230891" w:rsidRPr="00D40521" w:rsidRDefault="00230891" w:rsidP="004952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9000</w:t>
            </w:r>
          </w:p>
        </w:tc>
        <w:tc>
          <w:tcPr>
            <w:tcW w:w="1447" w:type="dxa"/>
            <w:vAlign w:val="center"/>
          </w:tcPr>
          <w:p w14:paraId="1EEA48AA" w14:textId="77777777" w:rsidR="00230891" w:rsidRPr="00D40521" w:rsidRDefault="00230891" w:rsidP="0049527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2722" w:type="dxa"/>
            <w:vAlign w:val="center"/>
          </w:tcPr>
          <w:p w14:paraId="1CF257A2" w14:textId="77777777" w:rsidR="00230891" w:rsidRPr="00D40521" w:rsidRDefault="00230891" w:rsidP="004952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30891" w:rsidRPr="002B50C0" w14:paraId="68628C78" w14:textId="77777777" w:rsidTr="00230891">
        <w:tc>
          <w:tcPr>
            <w:tcW w:w="3227" w:type="dxa"/>
            <w:vAlign w:val="center"/>
          </w:tcPr>
          <w:p w14:paraId="0598017D" w14:textId="77777777" w:rsidR="00230891" w:rsidRPr="00D40521" w:rsidRDefault="00230891" w:rsidP="00495277">
            <w:pPr>
              <w:pStyle w:val="Tekstpodstawowy2"/>
              <w:spacing w:before="60" w:after="60"/>
              <w:ind w:left="34"/>
              <w:rPr>
                <w:rFonts w:cs="Arial"/>
                <w:b/>
                <w:sz w:val="18"/>
                <w:szCs w:val="18"/>
                <w:lang w:val="pl-PL"/>
              </w:rPr>
            </w:pPr>
            <w:r w:rsidRPr="00D40521">
              <w:rPr>
                <w:rFonts w:cs="Arial"/>
                <w:b/>
                <w:sz w:val="18"/>
                <w:szCs w:val="18"/>
                <w:lang w:val="pl-PL"/>
              </w:rPr>
              <w:t>III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t>.</w:t>
            </w:r>
          </w:p>
          <w:p w14:paraId="337DCC43" w14:textId="77777777" w:rsidR="00230891" w:rsidRPr="00D40521" w:rsidRDefault="00230891" w:rsidP="00495277">
            <w:pPr>
              <w:pStyle w:val="Tekstpodstawowy2"/>
              <w:spacing w:before="60" w:after="60"/>
              <w:ind w:left="34"/>
              <w:rPr>
                <w:rFonts w:cs="Arial"/>
                <w:b/>
                <w:sz w:val="18"/>
                <w:szCs w:val="18"/>
                <w:lang w:val="pl-PL"/>
              </w:rPr>
            </w:pPr>
            <w:r w:rsidRPr="00EE49AA">
              <w:rPr>
                <w:rFonts w:cs="Arial"/>
                <w:sz w:val="18"/>
                <w:szCs w:val="18"/>
                <w:lang w:val="pl-PL"/>
              </w:rPr>
              <w:t>Liczba udostępnionych on-line d</w:t>
            </w:r>
            <w:r w:rsidRPr="00EE49AA">
              <w:rPr>
                <w:rFonts w:cs="Arial"/>
                <w:sz w:val="18"/>
                <w:szCs w:val="18"/>
                <w:lang w:val="pl-PL"/>
              </w:rPr>
              <w:t>o</w:t>
            </w:r>
            <w:r w:rsidRPr="00EE49AA">
              <w:rPr>
                <w:rFonts w:cs="Arial"/>
                <w:sz w:val="18"/>
                <w:szCs w:val="18"/>
                <w:lang w:val="pl-PL"/>
              </w:rPr>
              <w:t>kumentów zawierających</w:t>
            </w:r>
            <w:r>
              <w:rPr>
                <w:rFonts w:cs="Arial"/>
                <w:sz w:val="18"/>
                <w:szCs w:val="18"/>
                <w:lang w:val="pl-PL"/>
              </w:rPr>
              <w:t xml:space="preserve"> </w:t>
            </w:r>
            <w:r w:rsidRPr="00EE49AA">
              <w:rPr>
                <w:rFonts w:cs="Arial"/>
                <w:sz w:val="18"/>
                <w:szCs w:val="18"/>
                <w:lang w:val="pl-PL"/>
              </w:rPr>
              <w:t>informacje sektora publicznego [szt.]</w:t>
            </w:r>
          </w:p>
        </w:tc>
        <w:tc>
          <w:tcPr>
            <w:tcW w:w="850" w:type="dxa"/>
            <w:vAlign w:val="center"/>
          </w:tcPr>
          <w:p w14:paraId="7C11F47D" w14:textId="77777777" w:rsidR="00230891" w:rsidRPr="00D40521" w:rsidRDefault="00230891" w:rsidP="004952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30" w:type="dxa"/>
            <w:vAlign w:val="center"/>
          </w:tcPr>
          <w:p w14:paraId="57DD4A8E" w14:textId="77777777" w:rsidR="00230891" w:rsidRPr="00D40521" w:rsidRDefault="00230891" w:rsidP="00495277">
            <w:pPr>
              <w:rPr>
                <w:rFonts w:ascii="Arial" w:hAnsi="Arial" w:cs="Arial"/>
                <w:sz w:val="18"/>
                <w:szCs w:val="18"/>
              </w:rPr>
            </w:pPr>
            <w:r w:rsidRPr="00D40521">
              <w:rPr>
                <w:rFonts w:ascii="Arial" w:hAnsi="Arial" w:cs="Arial"/>
                <w:sz w:val="18"/>
                <w:szCs w:val="18"/>
              </w:rPr>
              <w:t>9000</w:t>
            </w:r>
          </w:p>
        </w:tc>
        <w:tc>
          <w:tcPr>
            <w:tcW w:w="1447" w:type="dxa"/>
            <w:vAlign w:val="center"/>
          </w:tcPr>
          <w:p w14:paraId="5F822032" w14:textId="77777777" w:rsidR="00230891" w:rsidRPr="00D40521" w:rsidRDefault="00230891" w:rsidP="0049527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2722" w:type="dxa"/>
            <w:vAlign w:val="center"/>
          </w:tcPr>
          <w:p w14:paraId="1E1A0C9C" w14:textId="77777777" w:rsidR="00230891" w:rsidRPr="00D40521" w:rsidRDefault="00230891" w:rsidP="004952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30891" w:rsidRPr="002B50C0" w14:paraId="20F09658" w14:textId="77777777" w:rsidTr="00230891">
        <w:tc>
          <w:tcPr>
            <w:tcW w:w="3227" w:type="dxa"/>
            <w:vAlign w:val="center"/>
          </w:tcPr>
          <w:p w14:paraId="27B3C298" w14:textId="77777777" w:rsidR="00230891" w:rsidRPr="00D40521" w:rsidRDefault="00230891" w:rsidP="00495277">
            <w:pPr>
              <w:pStyle w:val="Tekstpodstawowy2"/>
              <w:spacing w:before="60" w:after="60"/>
              <w:ind w:left="34"/>
              <w:rPr>
                <w:rFonts w:ascii="NimbusSanL-Regu" w:hAnsi="NimbusSanL-Regu"/>
                <w:sz w:val="16"/>
                <w:szCs w:val="16"/>
                <w:lang w:val="pl-PL"/>
              </w:rPr>
            </w:pPr>
            <w:r w:rsidRPr="00D40521">
              <w:rPr>
                <w:rFonts w:cs="Arial"/>
                <w:b/>
                <w:sz w:val="18"/>
                <w:szCs w:val="18"/>
                <w:lang w:val="pl-PL"/>
              </w:rPr>
              <w:t xml:space="preserve">IV. </w:t>
            </w:r>
            <w:r w:rsidRPr="00D40521"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Pr="00D40521">
              <w:rPr>
                <w:rFonts w:cs="Arial"/>
                <w:sz w:val="18"/>
                <w:szCs w:val="18"/>
                <w:lang w:val="pl-PL"/>
              </w:rPr>
              <w:t>Liczba utworzonych API [szt.]</w:t>
            </w:r>
          </w:p>
        </w:tc>
        <w:tc>
          <w:tcPr>
            <w:tcW w:w="850" w:type="dxa"/>
            <w:vAlign w:val="center"/>
          </w:tcPr>
          <w:p w14:paraId="363D0362" w14:textId="77777777" w:rsidR="00230891" w:rsidRPr="00D40521" w:rsidRDefault="00230891" w:rsidP="00495277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30" w:type="dxa"/>
            <w:vAlign w:val="center"/>
          </w:tcPr>
          <w:p w14:paraId="5DB788FD" w14:textId="77777777" w:rsidR="00230891" w:rsidRPr="00D40521" w:rsidRDefault="00230891" w:rsidP="004952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47" w:type="dxa"/>
            <w:vAlign w:val="center"/>
          </w:tcPr>
          <w:p w14:paraId="650F2933" w14:textId="77777777" w:rsidR="00230891" w:rsidRPr="00D40521" w:rsidRDefault="00230891" w:rsidP="0049527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2722" w:type="dxa"/>
            <w:vAlign w:val="center"/>
          </w:tcPr>
          <w:p w14:paraId="11AC7AD2" w14:textId="77777777" w:rsidR="00230891" w:rsidRPr="00D40521" w:rsidRDefault="00230891" w:rsidP="004952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30891" w:rsidRPr="002B50C0" w14:paraId="02EBA2EC" w14:textId="77777777" w:rsidTr="00230891">
        <w:tc>
          <w:tcPr>
            <w:tcW w:w="3227" w:type="dxa"/>
            <w:vAlign w:val="center"/>
          </w:tcPr>
          <w:p w14:paraId="48C46F75" w14:textId="77777777" w:rsidR="00230891" w:rsidRPr="00D40521" w:rsidRDefault="00230891" w:rsidP="00495277">
            <w:pPr>
              <w:pStyle w:val="Tekstpodstawowy2"/>
              <w:spacing w:before="60" w:after="60"/>
              <w:ind w:left="34"/>
              <w:rPr>
                <w:rFonts w:ascii="NimbusSanL-Regu" w:hAnsi="NimbusSanL-Regu"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  <w:t>V</w:t>
            </w:r>
            <w:r w:rsidRPr="00D40521">
              <w:rPr>
                <w:rFonts w:cs="Arial"/>
                <w:b/>
                <w:sz w:val="18"/>
                <w:szCs w:val="18"/>
                <w:lang w:val="pl-PL"/>
              </w:rPr>
              <w:t xml:space="preserve">.  </w:t>
            </w:r>
            <w:r w:rsidRPr="00D40521"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Pr="00D40521">
              <w:rPr>
                <w:rFonts w:cs="Arial"/>
                <w:sz w:val="18"/>
                <w:szCs w:val="18"/>
                <w:lang w:val="pl-PL"/>
              </w:rPr>
              <w:t>Liczba baz danych udostępnionych on-line poprzez API [szt.]</w:t>
            </w:r>
          </w:p>
        </w:tc>
        <w:tc>
          <w:tcPr>
            <w:tcW w:w="850" w:type="dxa"/>
            <w:vAlign w:val="center"/>
          </w:tcPr>
          <w:p w14:paraId="32F4ABE7" w14:textId="77777777" w:rsidR="00230891" w:rsidRPr="00D40521" w:rsidRDefault="00230891" w:rsidP="00495277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40521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D4052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30" w:type="dxa"/>
            <w:vAlign w:val="center"/>
          </w:tcPr>
          <w:p w14:paraId="6F7392EF" w14:textId="77777777" w:rsidR="00230891" w:rsidRPr="00D40521" w:rsidRDefault="00230891" w:rsidP="00495277">
            <w:pPr>
              <w:rPr>
                <w:rFonts w:ascii="Arial" w:hAnsi="Arial" w:cs="Arial"/>
                <w:sz w:val="18"/>
                <w:szCs w:val="18"/>
              </w:rPr>
            </w:pPr>
            <w:r w:rsidRPr="00D40521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47" w:type="dxa"/>
            <w:vAlign w:val="center"/>
          </w:tcPr>
          <w:p w14:paraId="3FD8C8BF" w14:textId="77777777" w:rsidR="00230891" w:rsidRPr="00D40521" w:rsidRDefault="00230891" w:rsidP="0049527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2722" w:type="dxa"/>
            <w:vAlign w:val="center"/>
          </w:tcPr>
          <w:p w14:paraId="7A9A0CD8" w14:textId="77777777" w:rsidR="00230891" w:rsidRPr="00D40521" w:rsidRDefault="00230891" w:rsidP="004952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30891" w:rsidRPr="002B50C0" w14:paraId="247EC64B" w14:textId="77777777" w:rsidTr="00230891">
        <w:tc>
          <w:tcPr>
            <w:tcW w:w="3227" w:type="dxa"/>
            <w:vAlign w:val="center"/>
          </w:tcPr>
          <w:p w14:paraId="24D5F34E" w14:textId="77777777" w:rsidR="00230891" w:rsidRDefault="00230891" w:rsidP="00495277">
            <w:pPr>
              <w:pStyle w:val="Tekstpodstawowy2"/>
              <w:spacing w:before="60" w:after="60"/>
              <w:ind w:left="0"/>
              <w:rPr>
                <w:rFonts w:cs="Arial"/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VI.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Pr="00B874D6">
              <w:rPr>
                <w:sz w:val="18"/>
                <w:szCs w:val="16"/>
                <w:lang w:val="pl-PL"/>
              </w:rPr>
              <w:t>Liczba pobrań/</w:t>
            </w:r>
            <w:proofErr w:type="spellStart"/>
            <w:r w:rsidRPr="00B874D6">
              <w:rPr>
                <w:sz w:val="18"/>
                <w:szCs w:val="16"/>
                <w:lang w:val="pl-PL"/>
              </w:rPr>
              <w:t>odtworzeń</w:t>
            </w:r>
            <w:proofErr w:type="spellEnd"/>
            <w:r w:rsidRPr="00B874D6">
              <w:rPr>
                <w:sz w:val="18"/>
                <w:szCs w:val="16"/>
                <w:lang w:val="pl-PL"/>
              </w:rPr>
              <w:t xml:space="preserve"> dokume</w:t>
            </w:r>
            <w:r w:rsidRPr="00B874D6">
              <w:rPr>
                <w:sz w:val="18"/>
                <w:szCs w:val="16"/>
                <w:lang w:val="pl-PL"/>
              </w:rPr>
              <w:t>n</w:t>
            </w:r>
            <w:r w:rsidRPr="00B874D6">
              <w:rPr>
                <w:sz w:val="18"/>
                <w:szCs w:val="16"/>
                <w:lang w:val="pl-PL"/>
              </w:rPr>
              <w:t xml:space="preserve">tów zawierających informacje sektora </w:t>
            </w:r>
            <w:r w:rsidRPr="00B874D6">
              <w:rPr>
                <w:sz w:val="18"/>
                <w:szCs w:val="16"/>
                <w:lang w:val="pl-PL"/>
              </w:rPr>
              <w:lastRenderedPageBreak/>
              <w:t>publicznego</w:t>
            </w:r>
            <w:r>
              <w:rPr>
                <w:sz w:val="18"/>
                <w:szCs w:val="16"/>
                <w:lang w:val="pl-PL"/>
              </w:rPr>
              <w:t xml:space="preserve"> [szt.</w:t>
            </w:r>
            <w:r w:rsidRPr="00B874D6">
              <w:rPr>
                <w:sz w:val="18"/>
                <w:szCs w:val="16"/>
                <w:lang w:val="pl-PL"/>
              </w:rPr>
              <w:t>]</w:t>
            </w:r>
          </w:p>
        </w:tc>
        <w:tc>
          <w:tcPr>
            <w:tcW w:w="850" w:type="dxa"/>
            <w:vAlign w:val="center"/>
          </w:tcPr>
          <w:p w14:paraId="3EE3BA53" w14:textId="77777777" w:rsidR="00230891" w:rsidRPr="00D40521" w:rsidRDefault="00230891" w:rsidP="004952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1530" w:type="dxa"/>
            <w:vAlign w:val="center"/>
          </w:tcPr>
          <w:p w14:paraId="416FDB78" w14:textId="77777777" w:rsidR="00230891" w:rsidRPr="00D40521" w:rsidRDefault="00230891" w:rsidP="004952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90000</w:t>
            </w:r>
          </w:p>
        </w:tc>
        <w:tc>
          <w:tcPr>
            <w:tcW w:w="1447" w:type="dxa"/>
            <w:vAlign w:val="center"/>
          </w:tcPr>
          <w:p w14:paraId="7B4351D9" w14:textId="77777777" w:rsidR="00230891" w:rsidRPr="00D40521" w:rsidRDefault="00230891" w:rsidP="0049527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07-2022</w:t>
            </w:r>
          </w:p>
        </w:tc>
        <w:tc>
          <w:tcPr>
            <w:tcW w:w="2722" w:type="dxa"/>
            <w:vAlign w:val="center"/>
          </w:tcPr>
          <w:p w14:paraId="60A7E811" w14:textId="77777777" w:rsidR="00230891" w:rsidRPr="00D40521" w:rsidRDefault="00230891" w:rsidP="004952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30891" w:rsidRPr="002B50C0" w14:paraId="07EC78AF" w14:textId="77777777" w:rsidTr="00230891">
        <w:tc>
          <w:tcPr>
            <w:tcW w:w="3227" w:type="dxa"/>
          </w:tcPr>
          <w:p w14:paraId="2E89F73A" w14:textId="77777777" w:rsidR="00230891" w:rsidRPr="00D40521" w:rsidRDefault="00230891" w:rsidP="00495277">
            <w:pPr>
              <w:pStyle w:val="Tekstpodstawowy2"/>
              <w:spacing w:before="60" w:after="60"/>
              <w:ind w:left="34"/>
              <w:rPr>
                <w:rFonts w:cs="Arial"/>
                <w:b/>
                <w:sz w:val="18"/>
                <w:szCs w:val="18"/>
                <w:lang w:val="pl-PL"/>
              </w:rPr>
            </w:pPr>
            <w:r w:rsidRPr="00D40521">
              <w:rPr>
                <w:b/>
                <w:sz w:val="18"/>
                <w:szCs w:val="16"/>
                <w:lang w:val="pl-PL"/>
              </w:rPr>
              <w:lastRenderedPageBreak/>
              <w:t xml:space="preserve">VII. </w:t>
            </w:r>
            <w:r w:rsidRPr="00D40521">
              <w:rPr>
                <w:b/>
                <w:sz w:val="18"/>
                <w:szCs w:val="16"/>
                <w:lang w:val="pl-PL"/>
              </w:rPr>
              <w:br/>
            </w:r>
            <w:r w:rsidRPr="00D40521">
              <w:rPr>
                <w:sz w:val="18"/>
                <w:szCs w:val="16"/>
                <w:lang w:val="pl-PL"/>
              </w:rPr>
              <w:t xml:space="preserve">Rozmiar </w:t>
            </w:r>
            <w:proofErr w:type="spellStart"/>
            <w:r w:rsidRPr="00D40521">
              <w:rPr>
                <w:sz w:val="18"/>
                <w:szCs w:val="16"/>
                <w:lang w:val="pl-PL"/>
              </w:rPr>
              <w:t>zdigitalizowanej</w:t>
            </w:r>
            <w:proofErr w:type="spellEnd"/>
            <w:r w:rsidRPr="00D40521">
              <w:rPr>
                <w:sz w:val="18"/>
                <w:szCs w:val="16"/>
                <w:lang w:val="pl-PL"/>
              </w:rPr>
              <w:t xml:space="preserve"> informacji sektora publicznego</w:t>
            </w:r>
          </w:p>
        </w:tc>
        <w:tc>
          <w:tcPr>
            <w:tcW w:w="850" w:type="dxa"/>
            <w:vAlign w:val="center"/>
          </w:tcPr>
          <w:p w14:paraId="7DDE2696" w14:textId="77777777" w:rsidR="00230891" w:rsidRPr="00D40521" w:rsidRDefault="00230891" w:rsidP="004952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530" w:type="dxa"/>
            <w:vAlign w:val="center"/>
          </w:tcPr>
          <w:p w14:paraId="4E7B4360" w14:textId="77777777" w:rsidR="00230891" w:rsidRPr="00D40521" w:rsidRDefault="00230891" w:rsidP="004952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447" w:type="dxa"/>
            <w:vAlign w:val="center"/>
          </w:tcPr>
          <w:p w14:paraId="69D48F84" w14:textId="77777777" w:rsidR="00230891" w:rsidRPr="00D40521" w:rsidRDefault="00230891" w:rsidP="0049527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2722" w:type="dxa"/>
            <w:vAlign w:val="center"/>
          </w:tcPr>
          <w:p w14:paraId="1A92AC66" w14:textId="77777777" w:rsidR="00230891" w:rsidRPr="00D40521" w:rsidRDefault="00230891" w:rsidP="004952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30891" w:rsidRPr="002B50C0" w14:paraId="08ADADB6" w14:textId="77777777" w:rsidTr="00230891">
        <w:tc>
          <w:tcPr>
            <w:tcW w:w="3227" w:type="dxa"/>
          </w:tcPr>
          <w:p w14:paraId="15DE8AD3" w14:textId="77777777" w:rsidR="00230891" w:rsidRPr="00D40521" w:rsidRDefault="00230891" w:rsidP="00495277">
            <w:pPr>
              <w:pStyle w:val="Tekstpodstawowy2"/>
              <w:spacing w:before="60" w:after="60"/>
              <w:ind w:left="34"/>
              <w:rPr>
                <w:b/>
                <w:sz w:val="18"/>
                <w:szCs w:val="16"/>
                <w:lang w:val="pl-PL"/>
              </w:rPr>
            </w:pPr>
            <w:r w:rsidRPr="00D40521">
              <w:rPr>
                <w:b/>
                <w:sz w:val="18"/>
                <w:szCs w:val="16"/>
                <w:lang w:val="pl-PL"/>
              </w:rPr>
              <w:t xml:space="preserve">VIII. </w:t>
            </w:r>
            <w:r w:rsidRPr="00D40521">
              <w:rPr>
                <w:b/>
                <w:sz w:val="18"/>
                <w:szCs w:val="16"/>
                <w:lang w:val="pl-PL"/>
              </w:rPr>
              <w:br/>
            </w:r>
            <w:r w:rsidRPr="00D40521">
              <w:rPr>
                <w:sz w:val="18"/>
                <w:szCs w:val="16"/>
                <w:lang w:val="pl-PL"/>
              </w:rPr>
              <w:t>Rozmiar udostępnionych on-line informacji sektora publicznego</w:t>
            </w:r>
          </w:p>
        </w:tc>
        <w:tc>
          <w:tcPr>
            <w:tcW w:w="850" w:type="dxa"/>
            <w:vAlign w:val="center"/>
          </w:tcPr>
          <w:p w14:paraId="15806B70" w14:textId="77777777" w:rsidR="00230891" w:rsidRPr="00D40521" w:rsidRDefault="00230891" w:rsidP="004952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530" w:type="dxa"/>
            <w:vAlign w:val="center"/>
          </w:tcPr>
          <w:p w14:paraId="7AA676A9" w14:textId="77777777" w:rsidR="00230891" w:rsidRPr="00D40521" w:rsidRDefault="00230891" w:rsidP="004952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447" w:type="dxa"/>
            <w:vAlign w:val="center"/>
          </w:tcPr>
          <w:p w14:paraId="5F231C77" w14:textId="77777777" w:rsidR="00230891" w:rsidRPr="00D40521" w:rsidRDefault="00230891" w:rsidP="0049527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2722" w:type="dxa"/>
            <w:vAlign w:val="center"/>
          </w:tcPr>
          <w:p w14:paraId="6107F0CC" w14:textId="77777777" w:rsidR="00230891" w:rsidRPr="00D40521" w:rsidRDefault="00230891" w:rsidP="004952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30891" w:rsidRPr="002B50C0" w14:paraId="32641008" w14:textId="77777777" w:rsidTr="00230891">
        <w:tc>
          <w:tcPr>
            <w:tcW w:w="3227" w:type="dxa"/>
          </w:tcPr>
          <w:p w14:paraId="09EDCC4D" w14:textId="77777777" w:rsidR="00230891" w:rsidRPr="00D40521" w:rsidRDefault="00230891" w:rsidP="00495277">
            <w:pPr>
              <w:pStyle w:val="Tekstpodstawowy2"/>
              <w:spacing w:before="60" w:after="60"/>
              <w:ind w:left="34"/>
              <w:rPr>
                <w:b/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IX.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Pr="00B874D6">
              <w:rPr>
                <w:sz w:val="18"/>
                <w:szCs w:val="16"/>
                <w:lang w:val="pl-PL"/>
              </w:rPr>
              <w:t>Liczba wygenerowanych kluczy API</w:t>
            </w:r>
          </w:p>
        </w:tc>
        <w:tc>
          <w:tcPr>
            <w:tcW w:w="850" w:type="dxa"/>
            <w:vAlign w:val="center"/>
          </w:tcPr>
          <w:p w14:paraId="02C36DC2" w14:textId="77777777" w:rsidR="00230891" w:rsidRPr="00D40521" w:rsidRDefault="00230891" w:rsidP="00495277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Times New Roman" w:hAnsi="Arial" w:cs="Times New Roman"/>
                <w:sz w:val="18"/>
                <w:szCs w:val="16"/>
              </w:rPr>
              <w:t>szt</w:t>
            </w:r>
            <w:proofErr w:type="gramEnd"/>
            <w:r>
              <w:rPr>
                <w:rFonts w:ascii="Arial" w:eastAsia="Times New Roman" w:hAnsi="Arial" w:cs="Times New Roman"/>
                <w:sz w:val="18"/>
                <w:szCs w:val="16"/>
              </w:rPr>
              <w:t>.</w:t>
            </w:r>
          </w:p>
        </w:tc>
        <w:tc>
          <w:tcPr>
            <w:tcW w:w="1530" w:type="dxa"/>
            <w:vAlign w:val="center"/>
          </w:tcPr>
          <w:p w14:paraId="1E565F67" w14:textId="77777777" w:rsidR="00230891" w:rsidRPr="00D40521" w:rsidRDefault="00230891" w:rsidP="004952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47" w:type="dxa"/>
            <w:vAlign w:val="center"/>
          </w:tcPr>
          <w:p w14:paraId="7296C789" w14:textId="77777777" w:rsidR="00230891" w:rsidRPr="00D40521" w:rsidRDefault="00230891" w:rsidP="0049527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2722" w:type="dxa"/>
            <w:vAlign w:val="center"/>
          </w:tcPr>
          <w:p w14:paraId="1D71D0CD" w14:textId="77777777" w:rsidR="00230891" w:rsidRPr="00D40521" w:rsidRDefault="00230891" w:rsidP="004952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14F90A03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  <w:tblCaption w:val="E-usługi A2A, A2B, A2C "/>
      </w:tblPr>
      <w:tblGrid>
        <w:gridCol w:w="2810"/>
        <w:gridCol w:w="1261"/>
        <w:gridCol w:w="1395"/>
        <w:gridCol w:w="4310"/>
      </w:tblGrid>
      <w:tr w:rsidR="007D38BD" w:rsidRPr="002B50C0" w14:paraId="1F33CC02" w14:textId="77777777" w:rsidTr="00230891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536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230891">
        <w:tc>
          <w:tcPr>
            <w:tcW w:w="2937" w:type="dxa"/>
          </w:tcPr>
          <w:p w14:paraId="21262D83" w14:textId="5F8FB682" w:rsidR="007D38BD" w:rsidRPr="00230891" w:rsidRDefault="00230891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7023F5AF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536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3101CBB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4503"/>
        <w:gridCol w:w="1262"/>
        <w:gridCol w:w="1396"/>
        <w:gridCol w:w="2615"/>
      </w:tblGrid>
      <w:tr w:rsidR="00230891" w14:paraId="75C6DB06" w14:textId="77777777" w:rsidTr="00230891">
        <w:trPr>
          <w:tblHeader/>
        </w:trPr>
        <w:tc>
          <w:tcPr>
            <w:tcW w:w="4503" w:type="dxa"/>
            <w:shd w:val="clear" w:color="auto" w:fill="D0CECE" w:themeFill="background2" w:themeFillShade="E6"/>
            <w:vAlign w:val="center"/>
          </w:tcPr>
          <w:p w14:paraId="06E55B05" w14:textId="77777777" w:rsidR="00230891" w:rsidRDefault="00230891" w:rsidP="004952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2" w:type="dxa"/>
            <w:shd w:val="clear" w:color="auto" w:fill="D0CECE" w:themeFill="background2" w:themeFillShade="E6"/>
            <w:vAlign w:val="center"/>
          </w:tcPr>
          <w:p w14:paraId="27E186B7" w14:textId="77777777" w:rsidR="00230891" w:rsidRDefault="00230891" w:rsidP="004952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6" w:type="dxa"/>
            <w:shd w:val="clear" w:color="auto" w:fill="D0CECE" w:themeFill="background2" w:themeFillShade="E6"/>
          </w:tcPr>
          <w:p w14:paraId="11F9E14A" w14:textId="77777777" w:rsidR="00230891" w:rsidRDefault="00230891" w:rsidP="004952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2615" w:type="dxa"/>
            <w:shd w:val="clear" w:color="auto" w:fill="D0CECE" w:themeFill="background2" w:themeFillShade="E6"/>
            <w:vAlign w:val="center"/>
          </w:tcPr>
          <w:p w14:paraId="3A44A04F" w14:textId="77777777" w:rsidR="00230891" w:rsidRDefault="00230891" w:rsidP="004952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30891" w:rsidRPr="00521A99" w14:paraId="3EF98738" w14:textId="77777777" w:rsidTr="00230891">
        <w:tc>
          <w:tcPr>
            <w:tcW w:w="4503" w:type="dxa"/>
            <w:shd w:val="clear" w:color="auto" w:fill="auto"/>
          </w:tcPr>
          <w:p w14:paraId="68CD7DB2" w14:textId="77777777" w:rsidR="00230891" w:rsidRPr="00521A99" w:rsidRDefault="00230891" w:rsidP="00495277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Do digitalizacji i otwartego dostępu przeznaczone są </w:t>
            </w:r>
          </w:p>
          <w:p w14:paraId="2E5C1412" w14:textId="77777777" w:rsidR="00230891" w:rsidRPr="00521A99" w:rsidRDefault="00230891" w:rsidP="00230891">
            <w:pPr>
              <w:pStyle w:val="Akapitzlist"/>
              <w:numPr>
                <w:ilvl w:val="0"/>
                <w:numId w:val="22"/>
              </w:numPr>
              <w:ind w:left="284" w:hanging="284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zasoby</w:t>
            </w:r>
            <w:proofErr w:type="gramEnd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 kolekcji bakteriofagów. Kolekcja zawiera 832 różne szczepy </w:t>
            </w:r>
            <w:proofErr w:type="spellStart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fagowe</w:t>
            </w:r>
            <w:proofErr w:type="spellEnd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 i jest stale aktualiz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wana. Do digitalizacji planowane są dane dot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y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czące taksonomii, morfologii, ultrastruktury, biol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gii i sekwencji nukleotydowych. </w:t>
            </w:r>
          </w:p>
          <w:p w14:paraId="1D7ABA6D" w14:textId="77777777" w:rsidR="00230891" w:rsidRPr="00521A99" w:rsidRDefault="00230891" w:rsidP="00230891">
            <w:pPr>
              <w:pStyle w:val="Akapitzlist"/>
              <w:numPr>
                <w:ilvl w:val="0"/>
                <w:numId w:val="22"/>
              </w:numPr>
              <w:ind w:left="284" w:hanging="284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zbiór</w:t>
            </w:r>
            <w:proofErr w:type="gramEnd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 preparatów komórek macierzystych </w:t>
            </w:r>
          </w:p>
          <w:p w14:paraId="084EB0CE" w14:textId="77777777" w:rsidR="00230891" w:rsidRPr="00521A99" w:rsidRDefault="00230891" w:rsidP="00495277">
            <w:pPr>
              <w:spacing w:before="60" w:after="60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Dane te a obejmują przede wszystkim dane obraz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we, w tym obrazy obiektów o rozmiarach w zakresie nanometrowym, obrazy trójwymiarowe, </w:t>
            </w:r>
            <w:proofErr w:type="spellStart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tomogramy</w:t>
            </w:r>
            <w:proofErr w:type="spellEnd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, opisy do obrazów i analiz, informacje o sekwencjach nukleotydowych.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4DE19412" w14:textId="77777777" w:rsidR="00230891" w:rsidRPr="00521A99" w:rsidRDefault="00230891" w:rsidP="00495277">
            <w:pPr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03-2021</w:t>
            </w:r>
          </w:p>
        </w:tc>
        <w:tc>
          <w:tcPr>
            <w:tcW w:w="1396" w:type="dxa"/>
            <w:shd w:val="clear" w:color="auto" w:fill="auto"/>
          </w:tcPr>
          <w:p w14:paraId="61FA4A15" w14:textId="77777777" w:rsidR="00230891" w:rsidRPr="00521A99" w:rsidRDefault="00230891" w:rsidP="00495277">
            <w:pPr>
              <w:spacing w:before="60" w:after="60"/>
              <w:rPr>
                <w:rFonts w:ascii="Arial" w:eastAsia="Times New Roman" w:hAnsi="Arial" w:cs="Times New Roman"/>
                <w:sz w:val="18"/>
                <w:szCs w:val="16"/>
              </w:rPr>
            </w:pPr>
          </w:p>
        </w:tc>
        <w:tc>
          <w:tcPr>
            <w:tcW w:w="2615" w:type="dxa"/>
            <w:shd w:val="clear" w:color="auto" w:fill="auto"/>
          </w:tcPr>
          <w:p w14:paraId="59F8F5C6" w14:textId="77777777" w:rsidR="00230891" w:rsidRPr="00521A99" w:rsidRDefault="00230891" w:rsidP="00495277">
            <w:pPr>
              <w:spacing w:before="60" w:after="60"/>
              <w:rPr>
                <w:rFonts w:ascii="Arial" w:eastAsia="Times New Roman" w:hAnsi="Arial" w:cs="Times New Roman"/>
                <w:sz w:val="18"/>
                <w:szCs w:val="16"/>
              </w:rPr>
            </w:pPr>
          </w:p>
        </w:tc>
      </w:tr>
    </w:tbl>
    <w:p w14:paraId="2598878D" w14:textId="763466D5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</w:p>
    <w:tbl>
      <w:tblPr>
        <w:tblStyle w:val="Tabela-Siatka"/>
        <w:tblW w:w="9776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685"/>
      </w:tblGrid>
      <w:tr w:rsidR="004C1D48" w:rsidRPr="002B50C0" w14:paraId="6B0B045E" w14:textId="77777777" w:rsidTr="00230891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685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0891" w:rsidRPr="002B50C0" w14:paraId="50A66C72" w14:textId="77777777" w:rsidTr="0058345D">
        <w:tc>
          <w:tcPr>
            <w:tcW w:w="2547" w:type="dxa"/>
          </w:tcPr>
          <w:p w14:paraId="2970BD85" w14:textId="77777777" w:rsidR="00230891" w:rsidRPr="00521A99" w:rsidRDefault="00230891" w:rsidP="00230891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Baza wiedzy, wraz z częścią popularyzatorską.</w:t>
            </w:r>
          </w:p>
          <w:p w14:paraId="20B36869" w14:textId="65237247" w:rsidR="00230891" w:rsidRPr="00141A92" w:rsidRDefault="00230891" w:rsidP="002308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Baza Informacji Naukowych Wspierających Innowacyjne Terapie - BINWIT</w:t>
            </w:r>
          </w:p>
        </w:tc>
        <w:tc>
          <w:tcPr>
            <w:tcW w:w="1701" w:type="dxa"/>
            <w:vAlign w:val="center"/>
          </w:tcPr>
          <w:p w14:paraId="1DB94B1B" w14:textId="1BE3FB44" w:rsidR="00230891" w:rsidRPr="00141A92" w:rsidRDefault="00230891" w:rsidP="0058345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03-20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t>21</w:t>
            </w:r>
          </w:p>
        </w:tc>
        <w:tc>
          <w:tcPr>
            <w:tcW w:w="1843" w:type="dxa"/>
          </w:tcPr>
          <w:p w14:paraId="6882FECF" w14:textId="142B21A5" w:rsidR="00230891" w:rsidRPr="00141A92" w:rsidRDefault="00230891" w:rsidP="002308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685" w:type="dxa"/>
          </w:tcPr>
          <w:p w14:paraId="43CDFE6D" w14:textId="513766E3" w:rsidR="00230891" w:rsidRPr="00141A92" w:rsidRDefault="00230891" w:rsidP="002308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Zakończony projekt </w:t>
            </w:r>
            <w:proofErr w:type="spellStart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pt</w:t>
            </w:r>
            <w:proofErr w:type="spellEnd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” Baza Informacji Naukowych Wspierających Innowacyjne Terapie – BINWIT będzie komplementarny z projektem KRONIK@</w:t>
            </w:r>
          </w:p>
        </w:tc>
      </w:tr>
    </w:tbl>
    <w:p w14:paraId="2AC8CEEF" w14:textId="0FA21951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1673"/>
        <w:gridCol w:w="1572"/>
        <w:gridCol w:w="1830"/>
        <w:gridCol w:w="4706"/>
      </w:tblGrid>
      <w:tr w:rsidR="00230891" w14:paraId="41251D6E" w14:textId="77777777" w:rsidTr="00230891">
        <w:trPr>
          <w:tblHeader/>
        </w:trPr>
        <w:tc>
          <w:tcPr>
            <w:tcW w:w="1673" w:type="dxa"/>
            <w:shd w:val="clear" w:color="auto" w:fill="D0CECE" w:themeFill="background2" w:themeFillShade="E6"/>
            <w:vAlign w:val="center"/>
          </w:tcPr>
          <w:p w14:paraId="0DB45133" w14:textId="77777777" w:rsidR="00230891" w:rsidRDefault="00230891" w:rsidP="004952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72" w:type="dxa"/>
            <w:shd w:val="clear" w:color="auto" w:fill="D0CECE" w:themeFill="background2" w:themeFillShade="E6"/>
            <w:vAlign w:val="center"/>
          </w:tcPr>
          <w:p w14:paraId="599BC54D" w14:textId="77777777" w:rsidR="00230891" w:rsidRDefault="00230891" w:rsidP="004952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 xml:space="preserve">oddziaływania </w:t>
            </w:r>
          </w:p>
        </w:tc>
        <w:tc>
          <w:tcPr>
            <w:tcW w:w="1830" w:type="dxa"/>
            <w:shd w:val="clear" w:color="auto" w:fill="D0CECE" w:themeFill="background2" w:themeFillShade="E6"/>
          </w:tcPr>
          <w:p w14:paraId="47ED0885" w14:textId="77777777" w:rsidR="00230891" w:rsidRDefault="00230891" w:rsidP="004952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bieństwo wyst</w:t>
            </w:r>
            <w:r>
              <w:rPr>
                <w:rFonts w:ascii="Arial" w:hAnsi="Arial" w:cs="Arial"/>
                <w:b/>
                <w:sz w:val="20"/>
                <w:szCs w:val="20"/>
              </w:rPr>
              <w:t>ą</w:t>
            </w:r>
            <w:r>
              <w:rPr>
                <w:rFonts w:ascii="Arial" w:hAnsi="Arial" w:cs="Arial"/>
                <w:b/>
                <w:sz w:val="20"/>
                <w:szCs w:val="20"/>
              </w:rPr>
              <w:t>pienia ryzyka</w:t>
            </w:r>
          </w:p>
        </w:tc>
        <w:tc>
          <w:tcPr>
            <w:tcW w:w="4706" w:type="dxa"/>
            <w:shd w:val="clear" w:color="auto" w:fill="D0CECE" w:themeFill="background2" w:themeFillShade="E6"/>
            <w:vAlign w:val="center"/>
          </w:tcPr>
          <w:p w14:paraId="6B6C9F38" w14:textId="77777777" w:rsidR="00230891" w:rsidRDefault="00230891" w:rsidP="004952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230891" w:rsidRPr="0022738A" w14:paraId="6E198C36" w14:textId="77777777" w:rsidTr="00230891">
        <w:tc>
          <w:tcPr>
            <w:tcW w:w="1673" w:type="dxa"/>
            <w:shd w:val="clear" w:color="auto" w:fill="auto"/>
            <w:vAlign w:val="center"/>
          </w:tcPr>
          <w:p w14:paraId="47E6E8FD" w14:textId="77777777" w:rsidR="00230891" w:rsidRPr="0022738A" w:rsidRDefault="00230891" w:rsidP="00495277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Wzrost kosztów realizacji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br/>
              <w:t xml:space="preserve"> przedsięwzięcia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00851E8F" w14:textId="77777777" w:rsidR="00230891" w:rsidRPr="0022738A" w:rsidRDefault="00230891" w:rsidP="00495277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średnia</w:t>
            </w:r>
            <w:proofErr w:type="gramEnd"/>
          </w:p>
        </w:tc>
        <w:tc>
          <w:tcPr>
            <w:tcW w:w="1830" w:type="dxa"/>
            <w:shd w:val="clear" w:color="auto" w:fill="auto"/>
            <w:vAlign w:val="center"/>
          </w:tcPr>
          <w:p w14:paraId="0DF215F7" w14:textId="77777777" w:rsidR="00230891" w:rsidRPr="0022738A" w:rsidRDefault="00230891" w:rsidP="00495277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4706" w:type="dxa"/>
            <w:shd w:val="clear" w:color="auto" w:fill="auto"/>
          </w:tcPr>
          <w:p w14:paraId="1B41592F" w14:textId="77777777" w:rsidR="00230891" w:rsidRDefault="00230891" w:rsidP="00495277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 xml:space="preserve">Na etapie przygotowania projektu IITD PAN założył, iż w związku z rocznym okresem od fazy przygotowania dokumentów aplikacyjnych projektu do rozpoczęcia procedur przetargowych istnieje ryzyko kursowe na 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lastRenderedPageBreak/>
              <w:t>rynku walutowym. Sposobem na zminimalizowanie ryzyka jest zaplanowanie na etapie tworzenia budżetu projektu kosztów zakupu środków trwałych o 10% wy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t>ż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t>szych niż te wynikające z szacowania cen (tzw. reze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t>r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t>wa). Dodatkowo wybór optymalnych ofert w proced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t>u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t>rach przetargowych, może przynieść ewentualne os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t>z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t>czędności, które mogą być przeznaczone na pokrycie elementów projektu, w których mógłby nastąpić wzrost nakładów po wcześniejszym uzyskaniu zgody IP.</w:t>
            </w:r>
          </w:p>
          <w:p w14:paraId="350724BF" w14:textId="77777777" w:rsidR="00230891" w:rsidRPr="0022738A" w:rsidRDefault="00230891" w:rsidP="00495277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W projekcie wystąpiło opisywane ryzyko w odniesieniu do kosztów materiałów i odczynników do digitalizacji. Wzrost kosztów zamierzamy pokryć z oszczędności powstałych w zakupach aparatury do digitalizacji po uzyskaniu zgody IP. Nie nastąpiła zmiana w zakresie danego ryzyka w stosunku do poprzedniego okresu sprawozdawczego.</w:t>
            </w:r>
          </w:p>
        </w:tc>
      </w:tr>
      <w:tr w:rsidR="00230891" w:rsidRPr="0022738A" w14:paraId="528C13E1" w14:textId="77777777" w:rsidTr="00230891">
        <w:tc>
          <w:tcPr>
            <w:tcW w:w="1673" w:type="dxa"/>
            <w:shd w:val="clear" w:color="auto" w:fill="auto"/>
            <w:vAlign w:val="center"/>
          </w:tcPr>
          <w:p w14:paraId="6524ED7C" w14:textId="77777777" w:rsidR="00230891" w:rsidRPr="0022738A" w:rsidRDefault="00230891" w:rsidP="00495277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lastRenderedPageBreak/>
              <w:t>Przedłużające się postępowanie przetargowe w przypadku k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nieczności ur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u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chomienia zam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ó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wienia publiczn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go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54B7AC00" w14:textId="77777777" w:rsidR="00230891" w:rsidRPr="0022738A" w:rsidRDefault="00230891" w:rsidP="00495277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średnia</w:t>
            </w:r>
            <w:proofErr w:type="gramEnd"/>
          </w:p>
        </w:tc>
        <w:tc>
          <w:tcPr>
            <w:tcW w:w="1830" w:type="dxa"/>
            <w:shd w:val="clear" w:color="auto" w:fill="auto"/>
            <w:vAlign w:val="center"/>
          </w:tcPr>
          <w:p w14:paraId="254E62CE" w14:textId="77777777" w:rsidR="00230891" w:rsidRPr="0022738A" w:rsidRDefault="00230891" w:rsidP="00495277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4706" w:type="dxa"/>
            <w:shd w:val="clear" w:color="auto" w:fill="auto"/>
          </w:tcPr>
          <w:p w14:paraId="4B313467" w14:textId="77777777" w:rsidR="00230891" w:rsidRDefault="00230891" w:rsidP="00495277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Została przewidziana rezerwa czasowa przy zakupach wymagających postępowań przetargowych oraz wcz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t xml:space="preserve">śniejsze szczegółowe przygotowanie dokumentacji przetargowej. </w:t>
            </w:r>
          </w:p>
          <w:p w14:paraId="39B43CC5" w14:textId="77777777" w:rsidR="00230891" w:rsidRPr="0022738A" w:rsidRDefault="00230891" w:rsidP="00495277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Nie nastąpiła zmiana w zakresie danego ryzyka w st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t>sunku do poprzedniego okresu sprawozdawczego.</w:t>
            </w:r>
          </w:p>
        </w:tc>
      </w:tr>
      <w:tr w:rsidR="00230891" w:rsidRPr="0022738A" w14:paraId="145C14E8" w14:textId="77777777" w:rsidTr="00230891">
        <w:tc>
          <w:tcPr>
            <w:tcW w:w="1673" w:type="dxa"/>
            <w:shd w:val="clear" w:color="auto" w:fill="auto"/>
            <w:vAlign w:val="center"/>
          </w:tcPr>
          <w:p w14:paraId="62E36F0F" w14:textId="77777777" w:rsidR="00230891" w:rsidRPr="0022738A" w:rsidRDefault="00230891" w:rsidP="00495277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Opóźnienia w realizacji etapów /przekroczenie punktów krytyc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z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nych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4A2887DD" w14:textId="77777777" w:rsidR="00230891" w:rsidRPr="0022738A" w:rsidRDefault="00230891" w:rsidP="00495277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średnia</w:t>
            </w:r>
            <w:proofErr w:type="gramEnd"/>
          </w:p>
        </w:tc>
        <w:tc>
          <w:tcPr>
            <w:tcW w:w="1830" w:type="dxa"/>
            <w:shd w:val="clear" w:color="auto" w:fill="auto"/>
            <w:vAlign w:val="center"/>
          </w:tcPr>
          <w:p w14:paraId="0FF0F4F7" w14:textId="77777777" w:rsidR="00230891" w:rsidRPr="0022738A" w:rsidRDefault="00230891" w:rsidP="00495277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4706" w:type="dxa"/>
            <w:shd w:val="clear" w:color="auto" w:fill="auto"/>
          </w:tcPr>
          <w:p w14:paraId="29F26CBE" w14:textId="77777777" w:rsidR="00230891" w:rsidRDefault="00230891" w:rsidP="00495277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Minimalizowanie ryzyka poprzez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br/>
              <w:t>dokładne i jednoznaczne opisanie warunków, które musi spełnić wykonawca/dostawca, aby zrealizować zamówienie, regularne monitorowanie postępu prac oraz bieżące reagowanie i podejmowanie decyzji w przypadkach występujących opóźnień, zapewnienie w umowie stosownych kar dla wykonawcy za opóźnienia, możliwość odstąpienia od umowy przez IITD PAN w określonym terminie.</w:t>
            </w:r>
          </w:p>
          <w:p w14:paraId="544273AA" w14:textId="77777777" w:rsidR="00230891" w:rsidRPr="0022738A" w:rsidRDefault="00230891" w:rsidP="00495277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W projekcie wystąpiło opisywane ryzyko w postepow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t>a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t>niu na zakup cyfrowego mikroskopu elektronowego. Problem został rozwiązany przez wykorzystanie zapl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t>a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t>nowanego ostatecznego terminu uruchomienia urz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t>ą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t>dzenia. Nie nastąpiła zmiana w zakresie danego ryzyka w stosunku do poprzedniego okresu sprawozdawczego.</w:t>
            </w:r>
          </w:p>
        </w:tc>
      </w:tr>
      <w:tr w:rsidR="00230891" w:rsidRPr="0022738A" w14:paraId="48CB13C2" w14:textId="77777777" w:rsidTr="00230891">
        <w:tc>
          <w:tcPr>
            <w:tcW w:w="1673" w:type="dxa"/>
            <w:shd w:val="clear" w:color="auto" w:fill="auto"/>
            <w:vAlign w:val="center"/>
          </w:tcPr>
          <w:p w14:paraId="2B9ABB16" w14:textId="77777777" w:rsidR="00230891" w:rsidRPr="0022738A" w:rsidRDefault="00230891" w:rsidP="00495277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Brak zapewnienia odpowiedniego poziomu bezpi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czeństwa w sy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s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temie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6A07F44F" w14:textId="77777777" w:rsidR="00230891" w:rsidRPr="0022738A" w:rsidRDefault="00230891" w:rsidP="00495277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średnia</w:t>
            </w:r>
            <w:proofErr w:type="gramEnd"/>
          </w:p>
        </w:tc>
        <w:tc>
          <w:tcPr>
            <w:tcW w:w="1830" w:type="dxa"/>
            <w:shd w:val="clear" w:color="auto" w:fill="auto"/>
            <w:vAlign w:val="center"/>
          </w:tcPr>
          <w:p w14:paraId="4E34792D" w14:textId="77777777" w:rsidR="00230891" w:rsidRPr="0022738A" w:rsidRDefault="00230891" w:rsidP="00495277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4706" w:type="dxa"/>
            <w:shd w:val="clear" w:color="auto" w:fill="auto"/>
          </w:tcPr>
          <w:p w14:paraId="4E19A490" w14:textId="77777777" w:rsidR="00230891" w:rsidRPr="0022738A" w:rsidRDefault="00230891" w:rsidP="00495277">
            <w:pPr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Wykonanie zewnętrznego audytu bezpieczeństwa w dwóch etapach: na prototypowej wersji oraz ostatecznej wersji po wdrożeniu w środowisku docelowym. Testy funkcjonalne tzw. czarnej skrzynki. Spodziewanym efektem planowanego postepowania jest usunięcie błędów bezpieczeństwa. Ryzyko jak dotąd nie wystąp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t>i</w:t>
            </w:r>
            <w:r>
              <w:rPr>
                <w:rFonts w:ascii="Arial" w:eastAsia="Times New Roman" w:hAnsi="Arial" w:cs="Times New Roman"/>
                <w:sz w:val="18"/>
                <w:szCs w:val="16"/>
              </w:rPr>
              <w:t>ło. Nie nastąpiła zmiana w zakresie danego ryzyka w stosunku do poprzedniego okresu sprawozdawczego.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701"/>
        <w:gridCol w:w="2268"/>
        <w:gridCol w:w="3117"/>
      </w:tblGrid>
      <w:tr w:rsidR="0091332C" w:rsidRPr="006334BF" w14:paraId="061EEDF1" w14:textId="77777777" w:rsidTr="00230891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30891" w:rsidRPr="001B6667" w14:paraId="6DCB94C6" w14:textId="77777777" w:rsidTr="00230891">
        <w:trPr>
          <w:trHeight w:val="724"/>
        </w:trPr>
        <w:tc>
          <w:tcPr>
            <w:tcW w:w="2694" w:type="dxa"/>
            <w:shd w:val="clear" w:color="auto" w:fill="auto"/>
          </w:tcPr>
          <w:p w14:paraId="6B9ADC89" w14:textId="20AA4266" w:rsidR="00230891" w:rsidRPr="0091332C" w:rsidRDefault="00230891" w:rsidP="0023089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Problemy techniczne z bazą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3243CF45" w:rsidR="00230891" w:rsidRPr="0091332C" w:rsidRDefault="00230891" w:rsidP="002308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proofErr w:type="gramStart"/>
            <w:r w:rsidRPr="0022738A">
              <w:rPr>
                <w:rFonts w:ascii="Arial" w:eastAsia="Times New Roman" w:hAnsi="Arial"/>
                <w:sz w:val="18"/>
                <w:szCs w:val="16"/>
              </w:rPr>
              <w:t>średnia</w:t>
            </w:r>
            <w:proofErr w:type="gramEnd"/>
          </w:p>
        </w:tc>
        <w:tc>
          <w:tcPr>
            <w:tcW w:w="2268" w:type="dxa"/>
            <w:shd w:val="clear" w:color="auto" w:fill="FFFFFF"/>
            <w:vAlign w:val="center"/>
          </w:tcPr>
          <w:p w14:paraId="65F40333" w14:textId="58D5AF18" w:rsidR="00230891" w:rsidRPr="0091332C" w:rsidRDefault="00230891" w:rsidP="002308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proofErr w:type="gramStart"/>
            <w:r w:rsidRPr="0022738A">
              <w:rPr>
                <w:rFonts w:ascii="Arial" w:eastAsia="Times New Roman" w:hAnsi="Arial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3117" w:type="dxa"/>
            <w:shd w:val="clear" w:color="auto" w:fill="FFFFFF"/>
          </w:tcPr>
          <w:p w14:paraId="76067957" w14:textId="77777777" w:rsidR="00230891" w:rsidRDefault="00230891" w:rsidP="0023089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Zastosowanie dwóch typów kopii bezpieczeństwa: pełna kopia (raz w tygodniu wykonywana w weekend), kopia przyrostowa (wykonywana codziennie w nocy od poniedziałku do piątku).</w:t>
            </w:r>
          </w:p>
          <w:p w14:paraId="5D2BA0FB" w14:textId="7169F178" w:rsidR="00230891" w:rsidRPr="0091332C" w:rsidRDefault="00230891" w:rsidP="002308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6"/>
              </w:rPr>
              <w:t>Nie nastąpiła zmiana w zakresie danego ryzyka w stosunku do poprzedniego okresu sprawozdawczego.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690F40DA" w14:textId="77777777" w:rsidR="00922532" w:rsidRDefault="00922532" w:rsidP="0092253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2532">
        <w:rPr>
          <w:rFonts w:ascii="Arial" w:hAnsi="Arial" w:cs="Arial"/>
          <w:sz w:val="18"/>
          <w:szCs w:val="18"/>
        </w:rPr>
        <w:t>Nie dotyczy</w:t>
      </w:r>
    </w:p>
    <w:p w14:paraId="3D57C761" w14:textId="77777777" w:rsidR="00922532" w:rsidRDefault="00922532" w:rsidP="00922532">
      <w:pPr>
        <w:spacing w:after="0" w:line="240" w:lineRule="auto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0318FBCC" w14:textId="1F04FBF0" w:rsidR="00230891" w:rsidRPr="00922532" w:rsidRDefault="00BB059E" w:rsidP="0092253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92253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922532">
        <w:rPr>
          <w:rFonts w:ascii="Arial" w:hAnsi="Arial" w:cs="Arial"/>
          <w:b/>
        </w:rPr>
        <w:t xml:space="preserve"> </w:t>
      </w:r>
      <w:r w:rsidR="00A86449" w:rsidRPr="00922532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5ACC80B6" w14:textId="7448DB1E" w:rsidR="00A92887" w:rsidRPr="00922532" w:rsidRDefault="00230891" w:rsidP="00922532">
      <w:pPr>
        <w:spacing w:before="360"/>
      </w:pPr>
      <w:r>
        <w:rPr>
          <w:rFonts w:ascii="Arial" w:hAnsi="Arial" w:cs="Arial"/>
          <w:sz w:val="18"/>
          <w:szCs w:val="18"/>
        </w:rPr>
        <w:t>Krzysztof Pawlik</w:t>
      </w:r>
      <w:r>
        <w:rPr>
          <w:rFonts w:ascii="Arial" w:hAnsi="Arial" w:cs="Arial"/>
          <w:sz w:val="18"/>
          <w:szCs w:val="18"/>
        </w:rPr>
        <w:br/>
        <w:t>Instytut Immunologii i Terapii Doświadczalnej PAN</w:t>
      </w:r>
      <w:proofErr w:type="gramStart"/>
      <w:r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br/>
        <w:t>ul</w:t>
      </w:r>
      <w:proofErr w:type="gramEnd"/>
      <w:r>
        <w:rPr>
          <w:rFonts w:ascii="Arial" w:hAnsi="Arial" w:cs="Arial"/>
          <w:sz w:val="18"/>
          <w:szCs w:val="18"/>
        </w:rPr>
        <w:t>. Rudolfa Weigla 12</w:t>
      </w:r>
      <w:r>
        <w:rPr>
          <w:rFonts w:ascii="Arial" w:hAnsi="Arial" w:cs="Arial"/>
          <w:sz w:val="18"/>
          <w:szCs w:val="18"/>
        </w:rPr>
        <w:br/>
        <w:t>53-114 Wrocław</w:t>
      </w:r>
      <w:r>
        <w:rPr>
          <w:rFonts w:ascii="Arial" w:hAnsi="Arial" w:cs="Arial"/>
          <w:sz w:val="18"/>
          <w:szCs w:val="18"/>
        </w:rPr>
        <w:br/>
        <w:t>krzysztof.</w:t>
      </w:r>
      <w:proofErr w:type="gramStart"/>
      <w:r>
        <w:rPr>
          <w:rFonts w:ascii="Arial" w:hAnsi="Arial" w:cs="Arial"/>
          <w:sz w:val="18"/>
          <w:szCs w:val="18"/>
        </w:rPr>
        <w:t>pawlik</w:t>
      </w:r>
      <w:proofErr w:type="gramEnd"/>
      <w:r>
        <w:rPr>
          <w:rFonts w:ascii="Arial" w:hAnsi="Arial" w:cs="Arial"/>
          <w:sz w:val="18"/>
          <w:szCs w:val="18"/>
        </w:rPr>
        <w:t>@hirszfeld.</w:t>
      </w:r>
      <w:proofErr w:type="gramStart"/>
      <w:r>
        <w:rPr>
          <w:rFonts w:ascii="Arial" w:hAnsi="Arial" w:cs="Arial"/>
          <w:sz w:val="18"/>
          <w:szCs w:val="18"/>
        </w:rPr>
        <w:t>pl</w:t>
      </w:r>
      <w:proofErr w:type="gramEnd"/>
      <w:r>
        <w:rPr>
          <w:rFonts w:ascii="Arial" w:hAnsi="Arial" w:cs="Arial"/>
          <w:sz w:val="18"/>
          <w:szCs w:val="18"/>
        </w:rPr>
        <w:br/>
        <w:t xml:space="preserve">tel. </w:t>
      </w:r>
      <w:r w:rsidR="00922532">
        <w:rPr>
          <w:rStyle w:val="lrzxr"/>
        </w:rPr>
        <w:t>713709910</w:t>
      </w:r>
    </w:p>
    <w:sectPr w:rsidR="00A92887" w:rsidRPr="00922532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6EC796" w15:done="0"/>
  <w15:commentEx w15:paraId="59AAA04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1671BB" w14:textId="77777777" w:rsidR="000F621F" w:rsidRDefault="000F621F" w:rsidP="00BB2420">
      <w:pPr>
        <w:spacing w:after="0" w:line="240" w:lineRule="auto"/>
      </w:pPr>
      <w:r>
        <w:separator/>
      </w:r>
    </w:p>
  </w:endnote>
  <w:endnote w:type="continuationSeparator" w:id="0">
    <w:p w14:paraId="601E93AB" w14:textId="77777777" w:rsidR="000F621F" w:rsidRDefault="000F621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NimbusSanL-Regu">
    <w:altName w:val="Calibri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822171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66A0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03B9A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695BB" w14:textId="77777777" w:rsidR="000F621F" w:rsidRDefault="000F621F" w:rsidP="00BB2420">
      <w:pPr>
        <w:spacing w:after="0" w:line="240" w:lineRule="auto"/>
      </w:pPr>
      <w:r>
        <w:separator/>
      </w:r>
    </w:p>
  </w:footnote>
  <w:footnote w:type="continuationSeparator" w:id="0">
    <w:p w14:paraId="4A0899B9" w14:textId="77777777" w:rsidR="000F621F" w:rsidRDefault="000F621F" w:rsidP="00BB24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D74986"/>
    <w:multiLevelType w:val="multilevel"/>
    <w:tmpl w:val="A4ACDC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8C85EC3"/>
    <w:multiLevelType w:val="multilevel"/>
    <w:tmpl w:val="4CD2821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20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56BB2"/>
    <w:rsid w:val="0006403E"/>
    <w:rsid w:val="00070663"/>
    <w:rsid w:val="00071880"/>
    <w:rsid w:val="00084E5B"/>
    <w:rsid w:val="00087231"/>
    <w:rsid w:val="00095944"/>
    <w:rsid w:val="000A1DFB"/>
    <w:rsid w:val="000A2F32"/>
    <w:rsid w:val="000A38D1"/>
    <w:rsid w:val="000A3938"/>
    <w:rsid w:val="000B3E49"/>
    <w:rsid w:val="000E0060"/>
    <w:rsid w:val="000E1828"/>
    <w:rsid w:val="000E1E9C"/>
    <w:rsid w:val="000E4BF8"/>
    <w:rsid w:val="000F20A9"/>
    <w:rsid w:val="000F307B"/>
    <w:rsid w:val="000F30B9"/>
    <w:rsid w:val="000F621F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0891"/>
    <w:rsid w:val="00237279"/>
    <w:rsid w:val="00240D69"/>
    <w:rsid w:val="00241B5E"/>
    <w:rsid w:val="00243CF8"/>
    <w:rsid w:val="00252087"/>
    <w:rsid w:val="00263392"/>
    <w:rsid w:val="00265194"/>
    <w:rsid w:val="00276C00"/>
    <w:rsid w:val="0028540D"/>
    <w:rsid w:val="00293351"/>
    <w:rsid w:val="00294349"/>
    <w:rsid w:val="002A3C02"/>
    <w:rsid w:val="002A5452"/>
    <w:rsid w:val="002A6309"/>
    <w:rsid w:val="002B4889"/>
    <w:rsid w:val="002B50C0"/>
    <w:rsid w:val="002B6F21"/>
    <w:rsid w:val="002D3D4A"/>
    <w:rsid w:val="002D5DE7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1FFA"/>
    <w:rsid w:val="00444AAB"/>
    <w:rsid w:val="004457A7"/>
    <w:rsid w:val="00450089"/>
    <w:rsid w:val="004729D1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345D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95FC2"/>
    <w:rsid w:val="006A60AA"/>
    <w:rsid w:val="006B034F"/>
    <w:rsid w:val="006B5117"/>
    <w:rsid w:val="006C78AE"/>
    <w:rsid w:val="006E0CFA"/>
    <w:rsid w:val="006E6205"/>
    <w:rsid w:val="00701800"/>
    <w:rsid w:val="00703B9A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6E58"/>
    <w:rsid w:val="0087452F"/>
    <w:rsid w:val="00875528"/>
    <w:rsid w:val="00884686"/>
    <w:rsid w:val="008875B4"/>
    <w:rsid w:val="008A332F"/>
    <w:rsid w:val="008A52F6"/>
    <w:rsid w:val="008B5546"/>
    <w:rsid w:val="008C4BCD"/>
    <w:rsid w:val="008C6721"/>
    <w:rsid w:val="008D3826"/>
    <w:rsid w:val="008F2D9B"/>
    <w:rsid w:val="008F67EE"/>
    <w:rsid w:val="00907F6D"/>
    <w:rsid w:val="00911190"/>
    <w:rsid w:val="0091332C"/>
    <w:rsid w:val="00922532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3087"/>
    <w:rsid w:val="009836AB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D7C43"/>
    <w:rsid w:val="00AE1643"/>
    <w:rsid w:val="00AE3A6C"/>
    <w:rsid w:val="00AF09B8"/>
    <w:rsid w:val="00AF567D"/>
    <w:rsid w:val="00B17709"/>
    <w:rsid w:val="00B228C3"/>
    <w:rsid w:val="00B23828"/>
    <w:rsid w:val="00B41415"/>
    <w:rsid w:val="00B440C3"/>
    <w:rsid w:val="00B46B7D"/>
    <w:rsid w:val="00B50560"/>
    <w:rsid w:val="00B6468B"/>
    <w:rsid w:val="00B64B3C"/>
    <w:rsid w:val="00B66A00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378FE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A410E"/>
    <w:rsid w:val="00DB69FD"/>
    <w:rsid w:val="00DC0A8A"/>
    <w:rsid w:val="00DC1705"/>
    <w:rsid w:val="00DC39A9"/>
    <w:rsid w:val="00DC4C79"/>
    <w:rsid w:val="00DE5755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F3D53"/>
    <w:rsid w:val="00F138F7"/>
    <w:rsid w:val="00F2008A"/>
    <w:rsid w:val="00F21D9E"/>
    <w:rsid w:val="00F25348"/>
    <w:rsid w:val="00F30617"/>
    <w:rsid w:val="00F45506"/>
    <w:rsid w:val="00F60062"/>
    <w:rsid w:val="00F613CC"/>
    <w:rsid w:val="00F76777"/>
    <w:rsid w:val="00F83F2F"/>
    <w:rsid w:val="00F86555"/>
    <w:rsid w:val="00F86C58"/>
    <w:rsid w:val="00FC3B03"/>
    <w:rsid w:val="00FD3FA0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Zakotwiczenieprzypisudolnego">
    <w:name w:val="Zakotwiczenie przypisu dolnego"/>
    <w:rsid w:val="00B6468B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6468B"/>
    <w:rPr>
      <w:vertAlign w:val="superscript"/>
    </w:rPr>
  </w:style>
  <w:style w:type="character" w:customStyle="1" w:styleId="Znakiprzypiswdolnych">
    <w:name w:val="Znaki przypisów dolnych"/>
    <w:qFormat/>
    <w:rsid w:val="00B6468B"/>
  </w:style>
  <w:style w:type="character" w:customStyle="1" w:styleId="ListLabel8">
    <w:name w:val="ListLabel 8"/>
    <w:qFormat/>
    <w:rsid w:val="00230891"/>
    <w:rPr>
      <w:rFonts w:cs="Calibri Light"/>
      <w:i w:val="0"/>
      <w:sz w:val="22"/>
      <w:szCs w:val="22"/>
    </w:rPr>
  </w:style>
  <w:style w:type="character" w:customStyle="1" w:styleId="lrzxr">
    <w:name w:val="lrzxr"/>
    <w:basedOn w:val="Domylnaczcionkaakapitu"/>
    <w:qFormat/>
    <w:rsid w:val="0023089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25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25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253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Zakotwiczenieprzypisudolnego">
    <w:name w:val="Zakotwiczenie przypisu dolnego"/>
    <w:rsid w:val="00B6468B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6468B"/>
    <w:rPr>
      <w:vertAlign w:val="superscript"/>
    </w:rPr>
  </w:style>
  <w:style w:type="character" w:customStyle="1" w:styleId="Znakiprzypiswdolnych">
    <w:name w:val="Znaki przypisów dolnych"/>
    <w:qFormat/>
    <w:rsid w:val="00B6468B"/>
  </w:style>
  <w:style w:type="character" w:customStyle="1" w:styleId="ListLabel8">
    <w:name w:val="ListLabel 8"/>
    <w:qFormat/>
    <w:rsid w:val="00230891"/>
    <w:rPr>
      <w:rFonts w:cs="Calibri Light"/>
      <w:i w:val="0"/>
      <w:sz w:val="22"/>
      <w:szCs w:val="22"/>
    </w:rPr>
  </w:style>
  <w:style w:type="character" w:customStyle="1" w:styleId="lrzxr">
    <w:name w:val="lrzxr"/>
    <w:basedOn w:val="Domylnaczcionkaakapitu"/>
    <w:qFormat/>
    <w:rsid w:val="0023089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25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25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25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4A679-2F68-428C-BC10-B990F4A50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1661</Words>
  <Characters>9969</Characters>
  <Application>Microsoft Office Word</Application>
  <DocSecurity>4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2020-05-06T11:24:00Z</dcterms:created>
  <dcterms:modified xsi:type="dcterms:W3CDTF">2020-05-06T11:24:00Z</dcterms:modified>
</cp:coreProperties>
</file>